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139" w14:textId="0820C3A3" w:rsidR="00776184" w:rsidRPr="00BE11B9" w:rsidRDefault="00776184" w:rsidP="00E13F22">
      <w:pPr>
        <w:keepLines/>
        <w:spacing w:before="60" w:after="60"/>
        <w:jc w:val="center"/>
        <w:rPr>
          <w:b/>
          <w:bCs/>
          <w:sz w:val="36"/>
          <w:szCs w:val="36"/>
          <w:lang w:eastAsia="en-GB"/>
        </w:rPr>
      </w:pPr>
      <w:r w:rsidRPr="00BE11B9">
        <w:rPr>
          <w:b/>
          <w:bCs/>
          <w:sz w:val="36"/>
          <w:szCs w:val="36"/>
          <w:lang w:eastAsia="en-GB"/>
        </w:rPr>
        <w:t xml:space="preserve">Input on the multi-country project </w:t>
      </w:r>
    </w:p>
    <w:p w14:paraId="1FB207AC" w14:textId="7DA4238E" w:rsidR="00776184" w:rsidRPr="00BE11B9" w:rsidRDefault="001732CD" w:rsidP="001732CD">
      <w:pPr>
        <w:keepLines/>
        <w:spacing w:before="60" w:after="60"/>
        <w:jc w:val="center"/>
        <w:rPr>
          <w:b/>
          <w:bCs/>
          <w:sz w:val="36"/>
          <w:szCs w:val="36"/>
          <w:lang w:eastAsia="en-GB"/>
        </w:rPr>
      </w:pPr>
      <w:r w:rsidRPr="00BE11B9">
        <w:rPr>
          <w:b/>
          <w:bCs/>
          <w:sz w:val="36"/>
          <w:szCs w:val="36"/>
          <w:lang w:eastAsia="en-GB"/>
        </w:rPr>
        <w:t>On Processors and Semiconductor chips</w:t>
      </w:r>
    </w:p>
    <w:p w14:paraId="6C029C21" w14:textId="7B07B67B" w:rsidR="00E13F22" w:rsidRPr="00BE11B9" w:rsidRDefault="00DB71EE" w:rsidP="00776184">
      <w:pPr>
        <w:keepLines/>
        <w:spacing w:before="60" w:after="60"/>
        <w:jc w:val="center"/>
        <w:rPr>
          <w:b/>
          <w:bCs/>
          <w:sz w:val="36"/>
          <w:szCs w:val="36"/>
          <w:lang w:eastAsia="en-GB"/>
        </w:rPr>
      </w:pPr>
      <w:r w:rsidRPr="00BE11B9">
        <w:rPr>
          <w:b/>
          <w:bCs/>
          <w:sz w:val="36"/>
          <w:szCs w:val="36"/>
          <w:lang w:eastAsia="en-GB"/>
        </w:rPr>
        <w:t>For</w:t>
      </w:r>
      <w:r w:rsidR="00776184" w:rsidRPr="00BE11B9">
        <w:rPr>
          <w:b/>
          <w:bCs/>
          <w:sz w:val="36"/>
          <w:szCs w:val="36"/>
          <w:lang w:eastAsia="en-GB"/>
        </w:rPr>
        <w:t xml:space="preserve"> consideration of Member States’ RRP</w:t>
      </w:r>
      <w:r w:rsidR="007514A0" w:rsidRPr="00BE11B9">
        <w:rPr>
          <w:b/>
          <w:bCs/>
          <w:sz w:val="36"/>
          <w:szCs w:val="36"/>
          <w:lang w:eastAsia="en-GB"/>
        </w:rPr>
        <w:t>s</w:t>
      </w:r>
    </w:p>
    <w:p w14:paraId="77FC5B35" w14:textId="77777777" w:rsidR="00C464D1" w:rsidRPr="00BE11B9" w:rsidRDefault="00C464D1" w:rsidP="00776184">
      <w:pPr>
        <w:rPr>
          <w:b/>
          <w:lang w:eastAsia="en-GB"/>
        </w:rPr>
      </w:pPr>
    </w:p>
    <w:p w14:paraId="28417786" w14:textId="3BFE73D2" w:rsidR="00776184" w:rsidRPr="00BE11B9" w:rsidRDefault="00776184" w:rsidP="00776184">
      <w:pPr>
        <w:shd w:val="clear" w:color="auto" w:fill="D9D9D9" w:themeFill="background1" w:themeFillShade="D9"/>
        <w:rPr>
          <w:sz w:val="28"/>
          <w:szCs w:val="28"/>
          <w:lang w:eastAsia="en-GB"/>
        </w:rPr>
      </w:pPr>
      <w:r w:rsidRPr="00BE11B9">
        <w:rPr>
          <w:b/>
          <w:bCs/>
          <w:sz w:val="28"/>
          <w:szCs w:val="28"/>
          <w:lang w:eastAsia="en-GB"/>
        </w:rPr>
        <w:t>The multi country nature of the project</w:t>
      </w:r>
    </w:p>
    <w:p w14:paraId="1B6EF868" w14:textId="6928931B" w:rsidR="00DC40F6" w:rsidRDefault="00FD6575" w:rsidP="00FD6575">
      <w:pPr>
        <w:autoSpaceDE w:val="0"/>
        <w:autoSpaceDN w:val="0"/>
        <w:adjustRightInd w:val="0"/>
        <w:jc w:val="both"/>
        <w:rPr>
          <w:bCs/>
          <w:lang w:val="ro-RO" w:eastAsia="en-GB"/>
        </w:rPr>
      </w:pPr>
      <w:r>
        <w:rPr>
          <w:bCs/>
          <w:lang w:val="ro-RO" w:eastAsia="en-GB"/>
        </w:rPr>
        <w:t xml:space="preserve">Uniunea Europeană a definit componentele și sistemele microelectronica ca fiind condiția esențială a unei digitalizări sustenabile. </w:t>
      </w:r>
      <w:r w:rsidR="00BB355A" w:rsidRPr="00572506">
        <w:rPr>
          <w:bCs/>
          <w:lang w:val="ro-RO" w:eastAsia="en-GB"/>
        </w:rPr>
        <w:t>Investițiile prevăzute vor fi implementate în cadrul unui Proiect Important de Interes Comun European în Microelectronică</w:t>
      </w:r>
      <w:r w:rsidR="00DD3322" w:rsidRPr="00572506">
        <w:rPr>
          <w:bCs/>
          <w:lang w:val="ro-RO" w:eastAsia="en-GB"/>
        </w:rPr>
        <w:t xml:space="preserve"> </w:t>
      </w:r>
      <w:r w:rsidR="00315B6A">
        <w:rPr>
          <w:bCs/>
          <w:lang w:val="ro-RO" w:eastAsia="en-GB"/>
        </w:rPr>
        <w:t xml:space="preserve">(IPCEI-ME) </w:t>
      </w:r>
      <w:r w:rsidR="00DD3322" w:rsidRPr="00572506">
        <w:rPr>
          <w:bCs/>
          <w:lang w:val="ro-RO" w:eastAsia="en-GB"/>
        </w:rPr>
        <w:t xml:space="preserve">la care au aderat 22 de State </w:t>
      </w:r>
      <w:r w:rsidR="00572506" w:rsidRPr="00572506">
        <w:rPr>
          <w:bCs/>
          <w:lang w:val="ro-RO" w:eastAsia="en-GB"/>
        </w:rPr>
        <w:t>M</w:t>
      </w:r>
      <w:r w:rsidR="00DD3322" w:rsidRPr="00572506">
        <w:rPr>
          <w:bCs/>
          <w:lang w:val="ro-RO" w:eastAsia="en-GB"/>
        </w:rPr>
        <w:t xml:space="preserve">embre ale Uniunii Europene, inclusiv </w:t>
      </w:r>
      <w:r w:rsidR="00572506" w:rsidRPr="00572506">
        <w:rPr>
          <w:bCs/>
          <w:lang w:val="ro-RO" w:eastAsia="en-GB"/>
        </w:rPr>
        <w:t xml:space="preserve"> România, pentru a răspunde provocărilor tehnologice, societale și de securitate în Europa.</w:t>
      </w:r>
    </w:p>
    <w:p w14:paraId="11EE2992" w14:textId="77777777" w:rsidR="00FD6575" w:rsidRPr="00FD6575" w:rsidRDefault="00FD6575" w:rsidP="00FD6575">
      <w:pPr>
        <w:autoSpaceDE w:val="0"/>
        <w:autoSpaceDN w:val="0"/>
        <w:adjustRightInd w:val="0"/>
        <w:jc w:val="both"/>
        <w:rPr>
          <w:bCs/>
          <w:lang w:val="ro-RO" w:eastAsia="en-GB"/>
        </w:rPr>
      </w:pPr>
    </w:p>
    <w:p w14:paraId="51D6B591" w14:textId="209047BA" w:rsidR="00B84FCC" w:rsidRPr="00682319" w:rsidRDefault="00DC40F6" w:rsidP="00357B94">
      <w:pPr>
        <w:shd w:val="clear" w:color="auto" w:fill="D9D9D9" w:themeFill="background1" w:themeFillShade="D9"/>
        <w:rPr>
          <w:sz w:val="28"/>
          <w:szCs w:val="28"/>
          <w:lang w:eastAsia="en-GB"/>
        </w:rPr>
      </w:pPr>
      <w:r w:rsidRPr="00682319">
        <w:rPr>
          <w:b/>
          <w:bCs/>
          <w:sz w:val="28"/>
          <w:szCs w:val="28"/>
          <w:lang w:eastAsia="en-GB"/>
        </w:rPr>
        <w:t>Addressing challenges / Objectives of the project</w:t>
      </w:r>
    </w:p>
    <w:p w14:paraId="021BB3BC" w14:textId="77777777" w:rsidR="005C5459" w:rsidRDefault="00FD6575" w:rsidP="00466750">
      <w:pPr>
        <w:autoSpaceDE w:val="0"/>
        <w:autoSpaceDN w:val="0"/>
        <w:adjustRightInd w:val="0"/>
        <w:jc w:val="both"/>
        <w:rPr>
          <w:bCs/>
          <w:lang w:val="ro-RO" w:eastAsia="en-GB"/>
        </w:rPr>
      </w:pPr>
      <w:r w:rsidRPr="00530DB0">
        <w:rPr>
          <w:bCs/>
          <w:lang w:val="ro-RO" w:eastAsia="en-GB"/>
        </w:rPr>
        <w:t>În România există insule de competență în tehnologi</w:t>
      </w:r>
      <w:r w:rsidR="00530DB0" w:rsidRPr="00530DB0">
        <w:rPr>
          <w:bCs/>
          <w:lang w:val="ro-RO" w:eastAsia="en-GB"/>
        </w:rPr>
        <w:t>a și aplicarea</w:t>
      </w:r>
      <w:r w:rsidRPr="00530DB0">
        <w:rPr>
          <w:bCs/>
          <w:lang w:val="ro-RO" w:eastAsia="en-GB"/>
        </w:rPr>
        <w:t xml:space="preserve"> procesoarelor și produselor semiconductoare, atât datorită </w:t>
      </w:r>
      <w:r w:rsidR="00530DB0" w:rsidRPr="00530DB0">
        <w:rPr>
          <w:bCs/>
          <w:lang w:val="ro-RO" w:eastAsia="en-GB"/>
        </w:rPr>
        <w:t xml:space="preserve">unei </w:t>
      </w:r>
      <w:r w:rsidRPr="00530DB0">
        <w:rPr>
          <w:bCs/>
          <w:lang w:val="ro-RO" w:eastAsia="en-GB"/>
        </w:rPr>
        <w:t xml:space="preserve">școlii </w:t>
      </w:r>
      <w:r w:rsidR="00530DB0" w:rsidRPr="00530DB0">
        <w:rPr>
          <w:bCs/>
          <w:lang w:val="ro-RO" w:eastAsia="en-GB"/>
        </w:rPr>
        <w:t>naționale cu tradiție în domeniu cât și dezvoltărilor și investițiilor publice și private recente, al căror impact asupra dezvoltării economice și societale a țării rămâne însă sub potențial.</w:t>
      </w:r>
      <w:r w:rsidRPr="00530DB0">
        <w:rPr>
          <w:bCs/>
          <w:lang w:val="ro-RO" w:eastAsia="en-GB"/>
        </w:rPr>
        <w:t xml:space="preserve">  </w:t>
      </w:r>
    </w:p>
    <w:p w14:paraId="335A1C37" w14:textId="581EA145" w:rsidR="005C5459" w:rsidRPr="005C5459" w:rsidRDefault="00DD3322" w:rsidP="00466750">
      <w:pPr>
        <w:autoSpaceDE w:val="0"/>
        <w:autoSpaceDN w:val="0"/>
        <w:adjustRightInd w:val="0"/>
        <w:jc w:val="both"/>
        <w:rPr>
          <w:bCs/>
          <w:lang w:eastAsia="en-GB"/>
        </w:rPr>
      </w:pPr>
      <w:r w:rsidRPr="00530DB0">
        <w:rPr>
          <w:bCs/>
          <w:lang w:val="ro-RO" w:eastAsia="en-GB"/>
        </w:rPr>
        <w:t>Obiectiv</w:t>
      </w:r>
      <w:r w:rsidR="009521C3">
        <w:rPr>
          <w:bCs/>
          <w:lang w:val="ro-RO" w:eastAsia="en-GB"/>
        </w:rPr>
        <w:t>ele</w:t>
      </w:r>
      <w:r w:rsidRPr="00530DB0">
        <w:rPr>
          <w:bCs/>
          <w:lang w:val="ro-RO" w:eastAsia="en-GB"/>
        </w:rPr>
        <w:t xml:space="preserve"> proiectului const</w:t>
      </w:r>
      <w:r w:rsidR="005C5459">
        <w:rPr>
          <w:bCs/>
          <w:lang w:val="ro-RO" w:eastAsia="en-GB"/>
        </w:rPr>
        <w:t>au</w:t>
      </w:r>
      <w:r w:rsidRPr="00530DB0">
        <w:rPr>
          <w:bCs/>
          <w:lang w:val="ro-RO" w:eastAsia="en-GB"/>
        </w:rPr>
        <w:t xml:space="preserve"> în</w:t>
      </w:r>
      <w:r w:rsidR="005C5459">
        <w:rPr>
          <w:bCs/>
          <w:lang w:eastAsia="en-GB"/>
        </w:rPr>
        <w:t>:</w:t>
      </w:r>
    </w:p>
    <w:p w14:paraId="749F25D2" w14:textId="4EB3F9D1" w:rsidR="005C5459" w:rsidRDefault="00DD3322" w:rsidP="005C5459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bCs/>
          <w:lang w:val="ro-RO" w:eastAsia="en-GB"/>
        </w:rPr>
      </w:pPr>
      <w:r w:rsidRPr="005C5459">
        <w:rPr>
          <w:bCs/>
          <w:lang w:val="ro-RO" w:eastAsia="en-GB"/>
        </w:rPr>
        <w:t xml:space="preserve">structurarea </w:t>
      </w:r>
      <w:r w:rsidR="00530DB0" w:rsidRPr="005C5459">
        <w:rPr>
          <w:bCs/>
          <w:lang w:val="ro-RO" w:eastAsia="en-GB"/>
        </w:rPr>
        <w:t xml:space="preserve">și dezvoltarea </w:t>
      </w:r>
      <w:r w:rsidRPr="005C5459">
        <w:rPr>
          <w:bCs/>
          <w:lang w:val="ro-RO" w:eastAsia="en-GB"/>
        </w:rPr>
        <w:t>competențelor de concepție, fabricație și ap</w:t>
      </w:r>
      <w:r w:rsidR="00572506" w:rsidRPr="005C5459">
        <w:rPr>
          <w:bCs/>
          <w:lang w:val="ro-RO" w:eastAsia="en-GB"/>
        </w:rPr>
        <w:t>l</w:t>
      </w:r>
      <w:r w:rsidRPr="005C5459">
        <w:rPr>
          <w:bCs/>
          <w:lang w:val="ro-RO" w:eastAsia="en-GB"/>
        </w:rPr>
        <w:t>icare a componentelor și si</w:t>
      </w:r>
      <w:r w:rsidR="00572506" w:rsidRPr="005C5459">
        <w:rPr>
          <w:bCs/>
          <w:lang w:val="ro-RO" w:eastAsia="en-GB"/>
        </w:rPr>
        <w:t>s</w:t>
      </w:r>
      <w:r w:rsidRPr="005C5459">
        <w:rPr>
          <w:bCs/>
          <w:lang w:val="ro-RO" w:eastAsia="en-GB"/>
        </w:rPr>
        <w:t>temelor microelectr</w:t>
      </w:r>
      <w:r w:rsidR="00572506" w:rsidRPr="005C5459">
        <w:rPr>
          <w:bCs/>
          <w:lang w:val="ro-RO" w:eastAsia="en-GB"/>
        </w:rPr>
        <w:t>o</w:t>
      </w:r>
      <w:r w:rsidRPr="005C5459">
        <w:rPr>
          <w:bCs/>
          <w:lang w:val="ro-RO" w:eastAsia="en-GB"/>
        </w:rPr>
        <w:t>nice într</w:t>
      </w:r>
      <w:r w:rsidR="00572506" w:rsidRPr="005C5459">
        <w:rPr>
          <w:bCs/>
          <w:lang w:val="ro-RO" w:eastAsia="en-GB"/>
        </w:rPr>
        <w:t>-</w:t>
      </w:r>
      <w:r w:rsidRPr="005C5459">
        <w:rPr>
          <w:bCs/>
          <w:lang w:val="ro-RO" w:eastAsia="en-GB"/>
        </w:rPr>
        <w:t xml:space="preserve">un ecosistem </w:t>
      </w:r>
      <w:r w:rsidR="00530DB0" w:rsidRPr="005C5459">
        <w:rPr>
          <w:bCs/>
          <w:lang w:val="ro-RO" w:eastAsia="en-GB"/>
        </w:rPr>
        <w:t xml:space="preserve">național </w:t>
      </w:r>
      <w:r w:rsidRPr="005C5459">
        <w:rPr>
          <w:bCs/>
          <w:lang w:val="ro-RO" w:eastAsia="en-GB"/>
        </w:rPr>
        <w:t>coerent</w:t>
      </w:r>
      <w:r w:rsidR="006E4BBA">
        <w:rPr>
          <w:bCs/>
          <w:lang w:val="ro-RO" w:eastAsia="en-GB"/>
        </w:rPr>
        <w:t>.</w:t>
      </w:r>
      <w:r w:rsidR="009521C3">
        <w:rPr>
          <w:bCs/>
          <w:lang w:val="ro-RO" w:eastAsia="en-GB"/>
        </w:rPr>
        <w:br/>
      </w:r>
      <w:r w:rsidR="006E4BBA">
        <w:rPr>
          <w:bCs/>
          <w:lang w:val="ro-RO" w:eastAsia="en-GB"/>
        </w:rPr>
        <w:t>I</w:t>
      </w:r>
      <w:r w:rsidR="00572506" w:rsidRPr="005C5459">
        <w:rPr>
          <w:bCs/>
          <w:lang w:val="ro-RO" w:eastAsia="en-GB"/>
        </w:rPr>
        <w:t>nclu</w:t>
      </w:r>
      <w:r w:rsidR="006E4BBA">
        <w:rPr>
          <w:bCs/>
          <w:lang w:val="ro-RO" w:eastAsia="en-GB"/>
        </w:rPr>
        <w:t>se sunt m</w:t>
      </w:r>
      <w:r w:rsidR="00572506" w:rsidRPr="005C5459">
        <w:rPr>
          <w:bCs/>
          <w:lang w:val="ro-RO" w:eastAsia="en-GB"/>
        </w:rPr>
        <w:t>arile întreprinderi și întreprinderile mici și mijlocii, cercetarea instituțională, cercetarea academică și si</w:t>
      </w:r>
      <w:r w:rsidR="00FD6575" w:rsidRPr="005C5459">
        <w:rPr>
          <w:bCs/>
          <w:lang w:val="ro-RO" w:eastAsia="en-GB"/>
        </w:rPr>
        <w:t>s</w:t>
      </w:r>
      <w:r w:rsidR="00572506" w:rsidRPr="005C5459">
        <w:rPr>
          <w:bCs/>
          <w:lang w:val="ro-RO" w:eastAsia="en-GB"/>
        </w:rPr>
        <w:t>temul educați</w:t>
      </w:r>
      <w:r w:rsidR="00FD6575" w:rsidRPr="005C5459">
        <w:rPr>
          <w:bCs/>
          <w:lang w:val="ro-RO" w:eastAsia="en-GB"/>
        </w:rPr>
        <w:t>onal</w:t>
      </w:r>
      <w:r w:rsidR="00572506" w:rsidRPr="005C5459">
        <w:rPr>
          <w:bCs/>
          <w:lang w:val="ro-RO" w:eastAsia="en-GB"/>
        </w:rPr>
        <w:t xml:space="preserve"> la toate nivelele</w:t>
      </w:r>
    </w:p>
    <w:p w14:paraId="32F7087E" w14:textId="77777777" w:rsidR="00B23DAC" w:rsidRDefault="00FD6575" w:rsidP="005C5459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bCs/>
          <w:lang w:val="ro-RO" w:eastAsia="en-GB"/>
        </w:rPr>
      </w:pPr>
      <w:r w:rsidRPr="005C5459">
        <w:rPr>
          <w:bCs/>
          <w:lang w:val="ro-RO" w:eastAsia="en-GB"/>
        </w:rPr>
        <w:t>securiz</w:t>
      </w:r>
      <w:r w:rsidR="00530DB0" w:rsidRPr="005C5459">
        <w:rPr>
          <w:bCs/>
          <w:lang w:val="ro-RO" w:eastAsia="en-GB"/>
        </w:rPr>
        <w:t>a</w:t>
      </w:r>
      <w:r w:rsidR="005C5459">
        <w:rPr>
          <w:bCs/>
          <w:lang w:val="ro-RO" w:eastAsia="en-GB"/>
        </w:rPr>
        <w:t>rea</w:t>
      </w:r>
      <w:r w:rsidRPr="005C5459">
        <w:rPr>
          <w:bCs/>
          <w:lang w:val="ro-RO" w:eastAsia="en-GB"/>
        </w:rPr>
        <w:t xml:space="preserve"> propriet</w:t>
      </w:r>
      <w:r w:rsidR="00B23DAC">
        <w:rPr>
          <w:bCs/>
          <w:lang w:val="ro-RO" w:eastAsia="en-GB"/>
        </w:rPr>
        <w:t>ă</w:t>
      </w:r>
      <w:r w:rsidRPr="005C5459">
        <w:rPr>
          <w:bCs/>
          <w:lang w:val="ro-RO" w:eastAsia="en-GB"/>
        </w:rPr>
        <w:t>t</w:t>
      </w:r>
      <w:r w:rsidR="00B23DAC">
        <w:rPr>
          <w:bCs/>
          <w:lang w:val="ro-RO" w:eastAsia="en-GB"/>
        </w:rPr>
        <w:t>ății</w:t>
      </w:r>
      <w:r w:rsidRPr="005C5459">
        <w:rPr>
          <w:bCs/>
          <w:lang w:val="ro-RO" w:eastAsia="en-GB"/>
        </w:rPr>
        <w:t xml:space="preserve"> intelectual</w:t>
      </w:r>
      <w:r w:rsidR="00B23DAC">
        <w:rPr>
          <w:bCs/>
          <w:lang w:val="ro-RO" w:eastAsia="en-GB"/>
        </w:rPr>
        <w:t>e</w:t>
      </w:r>
      <w:r w:rsidRPr="005C5459">
        <w:rPr>
          <w:bCs/>
          <w:lang w:val="ro-RO" w:eastAsia="en-GB"/>
        </w:rPr>
        <w:t xml:space="preserve"> și</w:t>
      </w:r>
      <w:r w:rsidR="00572506" w:rsidRPr="005C5459">
        <w:rPr>
          <w:bCs/>
          <w:lang w:val="ro-RO" w:eastAsia="en-GB"/>
        </w:rPr>
        <w:t xml:space="preserve"> </w:t>
      </w:r>
      <w:r w:rsidR="00530DB0" w:rsidRPr="005C5459">
        <w:rPr>
          <w:bCs/>
          <w:lang w:val="ro-RO" w:eastAsia="en-GB"/>
        </w:rPr>
        <w:t xml:space="preserve">a </w:t>
      </w:r>
      <w:r w:rsidR="00572506" w:rsidRPr="005C5459">
        <w:rPr>
          <w:bCs/>
          <w:lang w:val="ro-RO" w:eastAsia="en-GB"/>
        </w:rPr>
        <w:t>acceler</w:t>
      </w:r>
      <w:r w:rsidR="00530DB0" w:rsidRPr="005C5459">
        <w:rPr>
          <w:bCs/>
          <w:lang w:val="ro-RO" w:eastAsia="en-GB"/>
        </w:rPr>
        <w:t>a</w:t>
      </w:r>
      <w:r w:rsidR="00572506" w:rsidRPr="005C5459">
        <w:rPr>
          <w:bCs/>
          <w:lang w:val="ro-RO" w:eastAsia="en-GB"/>
        </w:rPr>
        <w:t xml:space="preserve"> aplicarea tehnologiilor avansate în domenii esențiale ale economiei naționale cum sunt industria automobilului, sănătatea sau agricultura de precizie</w:t>
      </w:r>
    </w:p>
    <w:p w14:paraId="1E0B24B3" w14:textId="1CBAE7CA" w:rsidR="00466750" w:rsidRPr="005C5459" w:rsidRDefault="00FD6575" w:rsidP="005C5459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bCs/>
          <w:lang w:val="ro-RO" w:eastAsia="en-GB"/>
        </w:rPr>
      </w:pPr>
      <w:r w:rsidRPr="005C5459">
        <w:rPr>
          <w:bCs/>
          <w:lang w:val="ro-RO" w:eastAsia="en-GB"/>
        </w:rPr>
        <w:t>coordonare cu capabilitățile și necesitățile existente la nivel european</w:t>
      </w:r>
      <w:r w:rsidR="00EE5915">
        <w:rPr>
          <w:bCs/>
          <w:lang w:val="ro-RO" w:eastAsia="en-GB"/>
        </w:rPr>
        <w:t>.</w:t>
      </w:r>
    </w:p>
    <w:p w14:paraId="027DEAEF" w14:textId="77777777" w:rsidR="00466750" w:rsidRDefault="00466750" w:rsidP="00466750">
      <w:pPr>
        <w:autoSpaceDE w:val="0"/>
        <w:autoSpaceDN w:val="0"/>
        <w:adjustRightInd w:val="0"/>
        <w:jc w:val="both"/>
        <w:rPr>
          <w:bCs/>
          <w:lang w:val="ro-RO" w:eastAsia="en-GB"/>
        </w:rPr>
      </w:pPr>
    </w:p>
    <w:p w14:paraId="3E9AA80F" w14:textId="0EBAA72A" w:rsidR="00A145EE" w:rsidRDefault="002E25CF" w:rsidP="00466750">
      <w:pPr>
        <w:autoSpaceDE w:val="0"/>
        <w:autoSpaceDN w:val="0"/>
        <w:adjustRightInd w:val="0"/>
        <w:jc w:val="both"/>
        <w:rPr>
          <w:b/>
          <w:lang w:val="ro-RO"/>
        </w:rPr>
      </w:pPr>
      <w:r w:rsidRPr="00A145EE">
        <w:rPr>
          <w:b/>
          <w:lang w:val="ro-RO" w:eastAsia="en-GB"/>
        </w:rPr>
        <w:t>Î</w:t>
      </w:r>
      <w:r w:rsidR="00466750" w:rsidRPr="00A145EE">
        <w:rPr>
          <w:b/>
          <w:lang w:val="ro-RO" w:eastAsia="en-GB"/>
        </w:rPr>
        <w:t>n mod specific, f</w:t>
      </w:r>
      <w:r w:rsidR="00466750" w:rsidRPr="00A145EE">
        <w:rPr>
          <w:b/>
          <w:lang w:val="ro-RO"/>
        </w:rPr>
        <w:t xml:space="preserve">acilitarea participării în IPCEI-ME </w:t>
      </w:r>
      <w:r w:rsidR="007651C7" w:rsidRPr="00FD5597">
        <w:t>(Scale-up A.</w:t>
      </w:r>
      <w:r w:rsidR="007651C7">
        <w:t>5</w:t>
      </w:r>
      <w:r w:rsidR="007651C7" w:rsidRPr="00FD5597">
        <w:t xml:space="preserve">) </w:t>
      </w:r>
      <w:r w:rsidR="00B86ED5">
        <w:rPr>
          <w:b/>
          <w:lang w:val="ro-RO"/>
        </w:rPr>
        <w:t>prin</w:t>
      </w:r>
      <w:r w:rsidR="00A145EE" w:rsidRPr="00A145EE">
        <w:rPr>
          <w:b/>
          <w:lang w:val="ro-RO"/>
        </w:rPr>
        <w:t xml:space="preserve">: </w:t>
      </w:r>
    </w:p>
    <w:p w14:paraId="5DD3D6BD" w14:textId="77777777" w:rsidR="005C5459" w:rsidRPr="00A145EE" w:rsidRDefault="005C5459" w:rsidP="00466750">
      <w:pPr>
        <w:autoSpaceDE w:val="0"/>
        <w:autoSpaceDN w:val="0"/>
        <w:adjustRightInd w:val="0"/>
        <w:jc w:val="both"/>
        <w:rPr>
          <w:b/>
          <w:lang w:val="ro-RO"/>
        </w:rPr>
      </w:pPr>
    </w:p>
    <w:p w14:paraId="225152A4" w14:textId="2CB9B181" w:rsidR="00A145EE" w:rsidRPr="00A145EE" w:rsidRDefault="00B37203" w:rsidP="00142036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bCs/>
          <w:lang w:val="ro-RO" w:eastAsia="en-GB"/>
        </w:rPr>
      </w:pPr>
      <w:r w:rsidRPr="00CB7D32">
        <w:t>(Scale-up A.9)</w:t>
      </w:r>
      <w:r>
        <w:rPr>
          <w:sz w:val="23"/>
          <w:szCs w:val="23"/>
        </w:rPr>
        <w:t xml:space="preserve"> </w:t>
      </w:r>
      <w:r w:rsidR="00A145EE" w:rsidRPr="00A145EE">
        <w:rPr>
          <w:lang w:val="ro-RO"/>
        </w:rPr>
        <w:t>Crearea unui centru național de tehnologii avansate, specializat în subiecte/etape tehnologice specifice și</w:t>
      </w:r>
      <w:r w:rsidR="007E55D0">
        <w:rPr>
          <w:lang w:val="ro-RO"/>
        </w:rPr>
        <w:t xml:space="preserve"> micro-producție</w:t>
      </w:r>
      <w:r w:rsidR="00CC083F">
        <w:rPr>
          <w:lang w:val="ro-RO"/>
        </w:rPr>
        <w:t>.</w:t>
      </w:r>
    </w:p>
    <w:p w14:paraId="6B65E8A8" w14:textId="77777777" w:rsidR="00A145EE" w:rsidRPr="00A145EE" w:rsidRDefault="00A145EE" w:rsidP="00142036">
      <w:pPr>
        <w:pStyle w:val="ListParagraph"/>
        <w:autoSpaceDE w:val="0"/>
        <w:autoSpaceDN w:val="0"/>
        <w:adjustRightInd w:val="0"/>
        <w:ind w:left="360"/>
        <w:jc w:val="both"/>
        <w:rPr>
          <w:bCs/>
          <w:lang w:val="ro-RO" w:eastAsia="en-GB"/>
        </w:rPr>
      </w:pPr>
    </w:p>
    <w:p w14:paraId="38F75F8B" w14:textId="6927FA46" w:rsidR="00466750" w:rsidRPr="00A145EE" w:rsidRDefault="005014A9" w:rsidP="00142036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bCs/>
          <w:lang w:val="ro-RO" w:eastAsia="en-GB"/>
        </w:rPr>
      </w:pPr>
      <w:r w:rsidRPr="00CB7D32">
        <w:t>(Scale-up A.2)</w:t>
      </w:r>
      <w:r>
        <w:rPr>
          <w:sz w:val="23"/>
          <w:szCs w:val="23"/>
        </w:rPr>
        <w:t xml:space="preserve"> </w:t>
      </w:r>
      <w:r w:rsidR="00532900">
        <w:rPr>
          <w:lang w:val="ro-RO"/>
        </w:rPr>
        <w:t>Patru centre</w:t>
      </w:r>
      <w:r w:rsidR="00293BD8">
        <w:rPr>
          <w:lang w:val="ro-RO"/>
        </w:rPr>
        <w:t xml:space="preserve"> </w:t>
      </w:r>
      <w:r w:rsidR="0048262E">
        <w:t>Digital Innovation Hu</w:t>
      </w:r>
      <w:r w:rsidR="00532900">
        <w:t>b</w:t>
      </w:r>
      <w:r w:rsidR="0048262E">
        <w:t>’s</w:t>
      </w:r>
      <w:r w:rsidR="00466750" w:rsidRPr="00A145EE">
        <w:rPr>
          <w:lang w:val="ro-RO"/>
        </w:rPr>
        <w:t xml:space="preserve"> în tehnologii avansate de componente și sisteme microelectronice specializate în următoarele domenii:</w:t>
      </w:r>
    </w:p>
    <w:p w14:paraId="0C879180" w14:textId="04178225" w:rsidR="00B85762" w:rsidRPr="00FD5597" w:rsidRDefault="00CB7D32" w:rsidP="00142036">
      <w:pPr>
        <w:pStyle w:val="xmsonormal"/>
        <w:numPr>
          <w:ilvl w:val="0"/>
          <w:numId w:val="28"/>
        </w:numPr>
        <w:jc w:val="both"/>
        <w:rPr>
          <w:lang w:val="ro-RO"/>
        </w:rPr>
      </w:pPr>
      <w:r w:rsidRPr="00CB7D32">
        <w:t>(Scale-up A.9)</w:t>
      </w:r>
      <w:r>
        <w:rPr>
          <w:sz w:val="23"/>
          <w:szCs w:val="23"/>
        </w:rPr>
        <w:t xml:space="preserve"> </w:t>
      </w:r>
      <w:r w:rsidR="005014A9">
        <w:rPr>
          <w:lang w:val="ro-RO"/>
        </w:rPr>
        <w:t>Design</w:t>
      </w:r>
      <w:r w:rsidR="00626A4D" w:rsidRPr="00FD5597">
        <w:rPr>
          <w:lang w:val="ro-RO"/>
        </w:rPr>
        <w:t>, prototipare</w:t>
      </w:r>
      <w:r w:rsidR="006B5B6A" w:rsidRPr="00FD5597">
        <w:rPr>
          <w:lang w:val="ro-RO"/>
        </w:rPr>
        <w:t xml:space="preserve"> </w:t>
      </w:r>
      <w:r w:rsidR="00466750" w:rsidRPr="00FD5597">
        <w:rPr>
          <w:lang w:val="ro-RO"/>
        </w:rPr>
        <w:t>și validare de cipleți</w:t>
      </w:r>
      <w:r w:rsidR="008536EA">
        <w:rPr>
          <w:lang w:val="ro-RO"/>
        </w:rPr>
        <w:t xml:space="preserve"> securizați</w:t>
      </w:r>
      <w:r w:rsidR="00466750" w:rsidRPr="00FD5597">
        <w:rPr>
          <w:lang w:val="ro-RO"/>
        </w:rPr>
        <w:t xml:space="preserve"> cu </w:t>
      </w:r>
      <w:r w:rsidR="008536EA">
        <w:rPr>
          <w:lang w:val="ro-RO"/>
        </w:rPr>
        <w:t>protecția</w:t>
      </w:r>
      <w:r w:rsidR="00466750" w:rsidRPr="00FD5597">
        <w:rPr>
          <w:lang w:val="ro-RO"/>
        </w:rPr>
        <w:t xml:space="preserve"> proprietății intelectuale</w:t>
      </w:r>
    </w:p>
    <w:p w14:paraId="3321BAEE" w14:textId="6F01BC9C" w:rsidR="00466750" w:rsidRPr="00FD5597" w:rsidRDefault="00FD5597" w:rsidP="00142036">
      <w:pPr>
        <w:pStyle w:val="xmsonormal"/>
        <w:numPr>
          <w:ilvl w:val="0"/>
          <w:numId w:val="28"/>
        </w:numPr>
        <w:jc w:val="both"/>
      </w:pPr>
      <w:r w:rsidRPr="00FD5597">
        <w:t>(Scale-up A.</w:t>
      </w:r>
      <w:r w:rsidR="007651C7">
        <w:t>2</w:t>
      </w:r>
      <w:r w:rsidRPr="00FD5597">
        <w:t xml:space="preserve">) </w:t>
      </w:r>
      <w:r w:rsidR="00466750" w:rsidRPr="00FD5597">
        <w:rPr>
          <w:lang w:val="ro-RO"/>
        </w:rPr>
        <w:t>Tehnologii avansate de integrare heterogenă și 3D</w:t>
      </w:r>
      <w:r w:rsidR="00F6545E" w:rsidRPr="00FD5597">
        <w:rPr>
          <w:lang w:val="ro-RO"/>
        </w:rPr>
        <w:t>,</w:t>
      </w:r>
      <w:r w:rsidR="00466750" w:rsidRPr="00FD5597">
        <w:rPr>
          <w:lang w:val="ro-RO"/>
        </w:rPr>
        <w:t xml:space="preserve"> prototipuri</w:t>
      </w:r>
      <w:r w:rsidR="0048679D">
        <w:rPr>
          <w:lang w:val="ro-RO"/>
        </w:rPr>
        <w:t xml:space="preserve"> securizate</w:t>
      </w:r>
      <w:r w:rsidR="00466750" w:rsidRPr="00FD5597">
        <w:rPr>
          <w:lang w:val="ro-RO"/>
        </w:rPr>
        <w:t xml:space="preserve"> </w:t>
      </w:r>
      <w:r w:rsidR="0048679D" w:rsidRPr="00FD5597">
        <w:rPr>
          <w:lang w:val="ro-RO"/>
        </w:rPr>
        <w:t xml:space="preserve">cu </w:t>
      </w:r>
      <w:r w:rsidR="0048679D">
        <w:rPr>
          <w:lang w:val="ro-RO"/>
        </w:rPr>
        <w:t>protecția</w:t>
      </w:r>
      <w:r w:rsidR="0048679D" w:rsidRPr="00FD5597">
        <w:rPr>
          <w:lang w:val="ro-RO"/>
        </w:rPr>
        <w:t xml:space="preserve"> proprietății intelectuale</w:t>
      </w:r>
    </w:p>
    <w:p w14:paraId="300D1D7F" w14:textId="62EA948F" w:rsidR="00466750" w:rsidRPr="00FD5597" w:rsidRDefault="007C708B" w:rsidP="00142036">
      <w:pPr>
        <w:pStyle w:val="xmsonormal"/>
        <w:numPr>
          <w:ilvl w:val="0"/>
          <w:numId w:val="28"/>
        </w:numPr>
        <w:jc w:val="both"/>
      </w:pPr>
      <w:r w:rsidRPr="007C708B">
        <w:t>(Scale-up A.</w:t>
      </w:r>
      <w:r>
        <w:t>1</w:t>
      </w:r>
      <w:r w:rsidRPr="007C708B">
        <w:t xml:space="preserve">) </w:t>
      </w:r>
      <w:r w:rsidR="00E46AC1" w:rsidRPr="00FD5597">
        <w:t>“High Performance Computing</w:t>
      </w:r>
      <w:r w:rsidR="002B38E5" w:rsidRPr="00FD5597">
        <w:t xml:space="preserve">” </w:t>
      </w:r>
      <w:r w:rsidR="009A1B2E" w:rsidRPr="00FD5597">
        <w:rPr>
          <w:lang w:val="ro-RO"/>
        </w:rPr>
        <w:t>facilitând</w:t>
      </w:r>
      <w:r w:rsidR="00E46AC1" w:rsidRPr="00FD5597">
        <w:t xml:space="preserve"> s</w:t>
      </w:r>
      <w:r w:rsidR="00466750" w:rsidRPr="00FD5597">
        <w:rPr>
          <w:lang w:val="ro-RO"/>
        </w:rPr>
        <w:t>imulare</w:t>
      </w:r>
      <w:r w:rsidR="009A1B2E" w:rsidRPr="00FD5597">
        <w:rPr>
          <w:lang w:val="ro-RO"/>
        </w:rPr>
        <w:t>a</w:t>
      </w:r>
      <w:r w:rsidR="00466750" w:rsidRPr="00FD5597">
        <w:rPr>
          <w:lang w:val="ro-RO"/>
        </w:rPr>
        <w:t xml:space="preserve"> predictivă</w:t>
      </w:r>
      <w:r w:rsidR="0082004A" w:rsidRPr="00FD5597">
        <w:rPr>
          <w:lang w:val="ro-RO"/>
        </w:rPr>
        <w:t>,</w:t>
      </w:r>
      <w:r w:rsidR="00F6545E" w:rsidRPr="00FD5597">
        <w:rPr>
          <w:lang w:val="ro-RO"/>
        </w:rPr>
        <w:t xml:space="preserve"> prototipare virtuala</w:t>
      </w:r>
      <w:r w:rsidR="00466750" w:rsidRPr="00FD5597">
        <w:rPr>
          <w:lang w:val="ro-RO"/>
        </w:rPr>
        <w:t>, validare</w:t>
      </w:r>
      <w:r w:rsidR="009A1B2E" w:rsidRPr="00FD5597">
        <w:rPr>
          <w:lang w:val="ro-RO"/>
        </w:rPr>
        <w:t xml:space="preserve"> </w:t>
      </w:r>
      <w:r w:rsidR="00466750" w:rsidRPr="00FD5597">
        <w:rPr>
          <w:lang w:val="ro-RO"/>
        </w:rPr>
        <w:t>experimentală și certifica</w:t>
      </w:r>
      <w:r w:rsidR="006C7EA4" w:rsidRPr="00FD5597">
        <w:rPr>
          <w:lang w:val="ro-RO"/>
        </w:rPr>
        <w:t>re</w:t>
      </w:r>
      <w:r w:rsidR="00466750" w:rsidRPr="00FD5597">
        <w:rPr>
          <w:lang w:val="ro-RO"/>
        </w:rPr>
        <w:t xml:space="preserve"> rapidă pentru condiții extreme de compatibilitate electromagnetică, fiabilitate și ciber-securitate</w:t>
      </w:r>
    </w:p>
    <w:p w14:paraId="50BAF604" w14:textId="0080E641" w:rsidR="00043ED0" w:rsidRPr="004B2BE5" w:rsidRDefault="00B37203" w:rsidP="00142036">
      <w:pPr>
        <w:pStyle w:val="xmsonormal"/>
        <w:numPr>
          <w:ilvl w:val="0"/>
          <w:numId w:val="28"/>
        </w:numPr>
        <w:jc w:val="both"/>
        <w:rPr>
          <w:rFonts w:cstheme="minorHAnsi"/>
          <w:lang w:val="ro-RO"/>
        </w:rPr>
      </w:pPr>
      <w:r w:rsidRPr="00FD5597">
        <w:t>(Scale-up A.</w:t>
      </w:r>
      <w:r w:rsidR="002C78C6" w:rsidRPr="00FD5597">
        <w:t>7</w:t>
      </w:r>
      <w:r w:rsidRPr="00FD5597">
        <w:t xml:space="preserve">) </w:t>
      </w:r>
      <w:r w:rsidR="00466750" w:rsidRPr="00FD5597">
        <w:rPr>
          <w:lang w:val="ro-RO"/>
        </w:rPr>
        <w:t>Arhitecturi pentru inteligență artificială</w:t>
      </w:r>
      <w:r w:rsidR="006F10D8" w:rsidRPr="00FD5597">
        <w:rPr>
          <w:lang w:val="ro-RO"/>
        </w:rPr>
        <w:t xml:space="preserve"> </w:t>
      </w:r>
      <w:r w:rsidR="00E14670" w:rsidRPr="00FD5597">
        <w:rPr>
          <w:lang w:val="ro-RO"/>
        </w:rPr>
        <w:t xml:space="preserve">incluzând </w:t>
      </w:r>
      <w:r w:rsidR="00714986" w:rsidRPr="00FD5597">
        <w:rPr>
          <w:lang w:val="ro-RO"/>
        </w:rPr>
        <w:t>stocarea</w:t>
      </w:r>
      <w:r w:rsidR="00296567" w:rsidRPr="00FD5597">
        <w:rPr>
          <w:lang w:val="ro-RO"/>
        </w:rPr>
        <w:t xml:space="preserve"> datelor brute de tip </w:t>
      </w:r>
      <w:r w:rsidR="00296567" w:rsidRPr="00FD5597">
        <w:t>“Big Data”</w:t>
      </w:r>
      <w:r w:rsidR="00714986" w:rsidRPr="00FD5597">
        <w:rPr>
          <w:lang w:val="ro-RO"/>
        </w:rPr>
        <w:t xml:space="preserve"> si </w:t>
      </w:r>
      <w:r w:rsidR="006F10D8" w:rsidRPr="00FD5597">
        <w:rPr>
          <w:lang w:val="ro-RO"/>
        </w:rPr>
        <w:t>calcul</w:t>
      </w:r>
      <w:r w:rsidR="00296567" w:rsidRPr="00FD5597">
        <w:rPr>
          <w:lang w:val="ro-RO"/>
        </w:rPr>
        <w:t>ul</w:t>
      </w:r>
      <w:r w:rsidR="006F10D8" w:rsidRPr="00FD5597">
        <w:rPr>
          <w:lang w:val="ro-RO"/>
        </w:rPr>
        <w:t xml:space="preserve"> în Cloud</w:t>
      </w:r>
      <w:r w:rsidR="00466750" w:rsidRPr="00FD5597">
        <w:rPr>
          <w:lang w:val="ro-RO"/>
        </w:rPr>
        <w:t>, conectivitate 5G și 6G,</w:t>
      </w:r>
      <w:r w:rsidR="0029390A" w:rsidRPr="00FD5597">
        <w:rPr>
          <w:lang w:val="ro-RO"/>
        </w:rPr>
        <w:t xml:space="preserve"> Industrie 4.0&amp;5.0,</w:t>
      </w:r>
      <w:r w:rsidR="00466750" w:rsidRPr="00FD5597">
        <w:rPr>
          <w:lang w:val="ro-RO"/>
        </w:rPr>
        <w:t xml:space="preserve"> demonstratori de sisteme autonome interconectate</w:t>
      </w:r>
    </w:p>
    <w:p w14:paraId="4A793C1B" w14:textId="465FC864" w:rsidR="004B2BE5" w:rsidRPr="001B20B8" w:rsidRDefault="00233A25" w:rsidP="003C2460">
      <w:pPr>
        <w:pStyle w:val="xmsonormal"/>
        <w:numPr>
          <w:ilvl w:val="0"/>
          <w:numId w:val="32"/>
        </w:numPr>
        <w:ind w:left="357"/>
        <w:jc w:val="both"/>
        <w:rPr>
          <w:rFonts w:cstheme="minorHAnsi"/>
          <w:lang w:val="ro-RO"/>
        </w:rPr>
      </w:pPr>
      <w:r w:rsidRPr="00FD5597">
        <w:t xml:space="preserve">(Scale-up A.7) </w:t>
      </w:r>
      <w:r w:rsidR="00C063C0" w:rsidRPr="00C063C0">
        <w:t xml:space="preserve">Dezvoltarea de programe de asistență pentru companiile active în dezvoltarea </w:t>
      </w:r>
      <w:r w:rsidR="00CD4347">
        <w:t>sitemelor embedded</w:t>
      </w:r>
      <w:r w:rsidR="00C063C0" w:rsidRPr="00C063C0">
        <w:t xml:space="preserve"> eficiente din punct de vedere energetic</w:t>
      </w:r>
    </w:p>
    <w:p w14:paraId="6F9BF356" w14:textId="77777777" w:rsidR="00466750" w:rsidRPr="00530DB0" w:rsidRDefault="00466750" w:rsidP="00DD3322">
      <w:pPr>
        <w:autoSpaceDE w:val="0"/>
        <w:autoSpaceDN w:val="0"/>
        <w:adjustRightInd w:val="0"/>
        <w:jc w:val="both"/>
        <w:rPr>
          <w:bCs/>
          <w:lang w:val="ro-RO" w:eastAsia="en-GB"/>
        </w:rPr>
      </w:pPr>
    </w:p>
    <w:p w14:paraId="19E9B9F9" w14:textId="77777777" w:rsidR="008F0EEB" w:rsidRPr="00FD6575" w:rsidRDefault="008F0EEB" w:rsidP="002F1913">
      <w:pPr>
        <w:jc w:val="both"/>
        <w:rPr>
          <w:bCs/>
          <w:iCs/>
          <w:lang w:eastAsia="en-GB"/>
        </w:rPr>
      </w:pPr>
    </w:p>
    <w:p w14:paraId="76327A26" w14:textId="75013B1B" w:rsidR="00B84FCC" w:rsidRPr="00BE11B9" w:rsidRDefault="00DC40F6" w:rsidP="00E13F22">
      <w:pPr>
        <w:keepLines/>
        <w:shd w:val="clear" w:color="auto" w:fill="D9D9D9" w:themeFill="background1" w:themeFillShade="D9"/>
        <w:spacing w:beforeLines="60" w:before="144" w:afterLines="60" w:after="144"/>
        <w:jc w:val="both"/>
        <w:rPr>
          <w:b/>
          <w:bCs/>
          <w:sz w:val="28"/>
          <w:szCs w:val="28"/>
          <w:lang w:eastAsia="en-GB"/>
        </w:rPr>
      </w:pPr>
      <w:r w:rsidRPr="00BE11B9">
        <w:rPr>
          <w:b/>
          <w:bCs/>
          <w:sz w:val="28"/>
          <w:szCs w:val="28"/>
          <w:lang w:eastAsia="en-GB"/>
        </w:rPr>
        <w:t>I</w:t>
      </w:r>
      <w:r w:rsidR="00E13F22" w:rsidRPr="00BE11B9">
        <w:rPr>
          <w:b/>
          <w:bCs/>
          <w:sz w:val="28"/>
          <w:szCs w:val="28"/>
          <w:lang w:eastAsia="en-GB"/>
        </w:rPr>
        <w:t>mplementation</w:t>
      </w:r>
      <w:r w:rsidRPr="00BE11B9">
        <w:rPr>
          <w:b/>
          <w:bCs/>
          <w:sz w:val="28"/>
          <w:szCs w:val="28"/>
          <w:lang w:eastAsia="en-GB"/>
        </w:rPr>
        <w:t xml:space="preserve"> mechanism</w:t>
      </w:r>
    </w:p>
    <w:p w14:paraId="57DFA623" w14:textId="00FC2036" w:rsidR="005A54F0" w:rsidRPr="00315B6A" w:rsidRDefault="004F2417" w:rsidP="001732CD">
      <w:pPr>
        <w:jc w:val="both"/>
        <w:rPr>
          <w:bCs/>
          <w:lang w:val="ro-RO" w:eastAsia="en-GB"/>
        </w:rPr>
      </w:pPr>
      <w:r w:rsidRPr="00315B6A">
        <w:rPr>
          <w:bCs/>
          <w:lang w:val="ro-RO" w:eastAsia="en-GB"/>
        </w:rPr>
        <w:t>Rolul de pregătire și coordonare a proiectului revin</w:t>
      </w:r>
      <w:r w:rsidR="00775F40">
        <w:rPr>
          <w:bCs/>
          <w:lang w:val="ro-RO" w:eastAsia="en-GB"/>
        </w:rPr>
        <w:t>e</w:t>
      </w:r>
      <w:r w:rsidRPr="00315B6A">
        <w:rPr>
          <w:bCs/>
          <w:lang w:val="ro-RO" w:eastAsia="en-GB"/>
        </w:rPr>
        <w:t xml:space="preserve"> în România </w:t>
      </w:r>
      <w:r w:rsidR="007B1AC8" w:rsidRPr="00315B6A">
        <w:rPr>
          <w:bCs/>
          <w:lang w:val="ro-RO" w:eastAsia="en-GB"/>
        </w:rPr>
        <w:t>autorităților naționale, asistate de Grup</w:t>
      </w:r>
      <w:r w:rsidR="006A495E">
        <w:rPr>
          <w:bCs/>
          <w:lang w:val="ro-RO" w:eastAsia="en-GB"/>
        </w:rPr>
        <w:t>ul</w:t>
      </w:r>
      <w:r w:rsidR="007B1AC8" w:rsidRPr="00315B6A">
        <w:rPr>
          <w:bCs/>
          <w:lang w:val="ro-RO" w:eastAsia="en-GB"/>
        </w:rPr>
        <w:t xml:space="preserve"> de Lucru reprezentativ organizat sub egida Acade</w:t>
      </w:r>
      <w:r w:rsidR="00315B6A">
        <w:rPr>
          <w:bCs/>
          <w:lang w:val="ro-RO" w:eastAsia="en-GB"/>
        </w:rPr>
        <w:t>m</w:t>
      </w:r>
      <w:r w:rsidR="007B1AC8" w:rsidRPr="00315B6A">
        <w:rPr>
          <w:bCs/>
          <w:lang w:val="ro-RO" w:eastAsia="en-GB"/>
        </w:rPr>
        <w:t xml:space="preserve">iei Române deschis tuturor contribuitorilor publici și privați. </w:t>
      </w:r>
    </w:p>
    <w:p w14:paraId="1D9AD929" w14:textId="015A5CCC" w:rsidR="005A54F0" w:rsidRPr="00315B6A" w:rsidRDefault="005A54F0" w:rsidP="001732CD">
      <w:pPr>
        <w:jc w:val="both"/>
        <w:rPr>
          <w:bCs/>
          <w:lang w:val="ro-RO" w:eastAsia="en-GB"/>
        </w:rPr>
      </w:pPr>
      <w:r w:rsidRPr="00315B6A">
        <w:rPr>
          <w:b/>
          <w:lang w:val="ro-RO" w:eastAsia="en-GB"/>
        </w:rPr>
        <w:t>Coordonare europeană</w:t>
      </w:r>
      <w:r w:rsidRPr="00315B6A">
        <w:rPr>
          <w:bCs/>
          <w:lang w:val="ro-RO" w:eastAsia="en-GB"/>
        </w:rPr>
        <w:t xml:space="preserve">: </w:t>
      </w:r>
      <w:r w:rsidR="007B1AC8" w:rsidRPr="00315B6A">
        <w:rPr>
          <w:bCs/>
          <w:lang w:val="ro-RO" w:eastAsia="en-GB"/>
        </w:rPr>
        <w:t>Reprezentanți</w:t>
      </w:r>
      <w:r w:rsidR="00814FA0">
        <w:rPr>
          <w:bCs/>
          <w:lang w:val="ro-RO" w:eastAsia="en-GB"/>
        </w:rPr>
        <w:t>i</w:t>
      </w:r>
      <w:r w:rsidR="007B1AC8" w:rsidRPr="00315B6A">
        <w:rPr>
          <w:bCs/>
          <w:lang w:val="ro-RO" w:eastAsia="en-GB"/>
        </w:rPr>
        <w:t xml:space="preserve"> Grup</w:t>
      </w:r>
      <w:r w:rsidRPr="00315B6A">
        <w:rPr>
          <w:bCs/>
          <w:lang w:val="ro-RO" w:eastAsia="en-GB"/>
        </w:rPr>
        <w:t>ului</w:t>
      </w:r>
      <w:r w:rsidR="007B1AC8" w:rsidRPr="00315B6A">
        <w:rPr>
          <w:bCs/>
          <w:lang w:val="ro-RO" w:eastAsia="en-GB"/>
        </w:rPr>
        <w:t xml:space="preserve"> de Lucru participă alături de delegații autorităților naționale la definiția </w:t>
      </w:r>
      <w:r w:rsidR="00315B6A" w:rsidRPr="00315B6A">
        <w:rPr>
          <w:bCs/>
          <w:lang w:val="ro-RO" w:eastAsia="en-GB"/>
        </w:rPr>
        <w:t>IPCEI-ME</w:t>
      </w:r>
      <w:r w:rsidR="007B1AC8" w:rsidRPr="00315B6A">
        <w:rPr>
          <w:bCs/>
          <w:lang w:val="ro-RO" w:eastAsia="en-GB"/>
        </w:rPr>
        <w:t xml:space="preserve"> cu obiectivul de a pregăti documentele necesare notificării către sfârșitul anului. Detaliile contribuțiilor actorilor din România se vor preciza în cursul acestui proces. </w:t>
      </w:r>
    </w:p>
    <w:p w14:paraId="24DB9979" w14:textId="409D42FC" w:rsidR="007B1AC8" w:rsidRPr="00315B6A" w:rsidRDefault="005A54F0" w:rsidP="001732CD">
      <w:pPr>
        <w:jc w:val="both"/>
        <w:rPr>
          <w:bCs/>
          <w:lang w:val="ro-RO" w:eastAsia="en-GB"/>
        </w:rPr>
      </w:pPr>
      <w:r w:rsidRPr="00315B6A">
        <w:rPr>
          <w:b/>
          <w:lang w:val="ro-RO" w:eastAsia="en-GB"/>
        </w:rPr>
        <w:t>Coordonare națională</w:t>
      </w:r>
      <w:r w:rsidRPr="00315B6A">
        <w:rPr>
          <w:bCs/>
          <w:lang w:val="ro-RO" w:eastAsia="en-GB"/>
        </w:rPr>
        <w:t xml:space="preserve">: </w:t>
      </w:r>
      <w:r w:rsidR="007B1AC8" w:rsidRPr="00315B6A">
        <w:rPr>
          <w:bCs/>
          <w:lang w:val="ro-RO" w:eastAsia="en-GB"/>
        </w:rPr>
        <w:t>Proiectul acesta ambi</w:t>
      </w:r>
      <w:r w:rsidRPr="00315B6A">
        <w:rPr>
          <w:bCs/>
          <w:lang w:val="ro-RO" w:eastAsia="en-GB"/>
        </w:rPr>
        <w:t>ț</w:t>
      </w:r>
      <w:r w:rsidR="007B1AC8" w:rsidRPr="00315B6A">
        <w:rPr>
          <w:bCs/>
          <w:lang w:val="ro-RO" w:eastAsia="en-GB"/>
        </w:rPr>
        <w:t>ios va cere un volum financiar care depășește resursele alocabile prin Planul Național de Redresare și Reziliență, astfel încât activitățile vor fi coordonate cu alte mecanisme:</w:t>
      </w:r>
    </w:p>
    <w:p w14:paraId="351DEF85" w14:textId="42F52B27" w:rsidR="007B1AC8" w:rsidRPr="00315B6A" w:rsidRDefault="007B1AC8" w:rsidP="007B1AC8">
      <w:pPr>
        <w:numPr>
          <w:ilvl w:val="0"/>
          <w:numId w:val="22"/>
        </w:numPr>
        <w:jc w:val="both"/>
        <w:rPr>
          <w:bCs/>
          <w:lang w:val="ro-RO" w:eastAsia="en-GB"/>
        </w:rPr>
      </w:pPr>
      <w:r w:rsidRPr="00315B6A">
        <w:rPr>
          <w:bCs/>
          <w:lang w:val="ro-RO" w:eastAsia="en-GB"/>
        </w:rPr>
        <w:t>Proiecte de ce</w:t>
      </w:r>
      <w:r w:rsidR="00315B6A">
        <w:rPr>
          <w:bCs/>
          <w:lang w:val="ro-RO" w:eastAsia="en-GB"/>
        </w:rPr>
        <w:t>r</w:t>
      </w:r>
      <w:r w:rsidRPr="00315B6A">
        <w:rPr>
          <w:bCs/>
          <w:lang w:val="ro-RO" w:eastAsia="en-GB"/>
        </w:rPr>
        <w:t xml:space="preserve">cetare-dezvoltare-inovare, </w:t>
      </w:r>
      <w:r w:rsidR="00315B6A" w:rsidRPr="00315B6A">
        <w:rPr>
          <w:bCs/>
          <w:lang w:val="ro-RO" w:eastAsia="en-GB"/>
        </w:rPr>
        <w:t xml:space="preserve">între care cele </w:t>
      </w:r>
      <w:r w:rsidRPr="00315B6A">
        <w:rPr>
          <w:bCs/>
          <w:lang w:val="ro-RO" w:eastAsia="en-GB"/>
        </w:rPr>
        <w:t>răspunzând la apelurile de proiecte</w:t>
      </w:r>
      <w:r w:rsidR="00315B6A" w:rsidRPr="00315B6A">
        <w:rPr>
          <w:bCs/>
          <w:lang w:val="ro-RO" w:eastAsia="en-GB"/>
        </w:rPr>
        <w:t>, inclusiv linii pilot,</w:t>
      </w:r>
      <w:r w:rsidRPr="00315B6A">
        <w:rPr>
          <w:bCs/>
          <w:lang w:val="ro-RO" w:eastAsia="en-GB"/>
        </w:rPr>
        <w:t xml:space="preserve"> pe care le va lansa Întreprinderea Comună pentru Tehnologii Digitale Esențiale (KDT JU)</w:t>
      </w:r>
      <w:r w:rsidR="005A54F0" w:rsidRPr="00315B6A">
        <w:rPr>
          <w:bCs/>
          <w:lang w:val="ro-RO" w:eastAsia="en-GB"/>
        </w:rPr>
        <w:t xml:space="preserve"> în programul Orizont Europa</w:t>
      </w:r>
    </w:p>
    <w:p w14:paraId="4C211193" w14:textId="0D1F2454" w:rsidR="005A54F0" w:rsidRPr="00315B6A" w:rsidRDefault="005A54F0" w:rsidP="005A54F0">
      <w:pPr>
        <w:numPr>
          <w:ilvl w:val="0"/>
          <w:numId w:val="22"/>
        </w:numPr>
        <w:jc w:val="both"/>
        <w:rPr>
          <w:bCs/>
          <w:lang w:val="ro-RO" w:eastAsia="en-GB"/>
        </w:rPr>
      </w:pPr>
      <w:r w:rsidRPr="00315B6A">
        <w:rPr>
          <w:bCs/>
          <w:lang w:val="ro-RO" w:eastAsia="en-GB"/>
        </w:rPr>
        <w:t xml:space="preserve">Acțiuni co-finanțate prin Planul operațional de cercetare-inovare-dezvoltare </w:t>
      </w:r>
      <w:r w:rsidR="00356DEF">
        <w:rPr>
          <w:bCs/>
          <w:lang w:val="ro-RO" w:eastAsia="en-GB"/>
        </w:rPr>
        <w:t>ș</w:t>
      </w:r>
      <w:r w:rsidRPr="00315B6A">
        <w:rPr>
          <w:bCs/>
          <w:lang w:val="ro-RO" w:eastAsia="en-GB"/>
        </w:rPr>
        <w:t xml:space="preserve">i instrumente financiare, accesând Fonduri Europene planurile operaționale, centrale și regionale, care accesează Fondurile structurale </w:t>
      </w:r>
      <w:r w:rsidR="00BD200F" w:rsidRPr="00315B6A">
        <w:rPr>
          <w:bCs/>
          <w:lang w:val="ro-RO" w:eastAsia="en-GB"/>
        </w:rPr>
        <w:t>și</w:t>
      </w:r>
      <w:r w:rsidRPr="00315B6A">
        <w:rPr>
          <w:bCs/>
          <w:lang w:val="ro-RO" w:eastAsia="en-GB"/>
        </w:rPr>
        <w:t xml:space="preserve"> de </w:t>
      </w:r>
      <w:r w:rsidR="00BD200F" w:rsidRPr="00315B6A">
        <w:rPr>
          <w:bCs/>
          <w:lang w:val="ro-RO" w:eastAsia="en-GB"/>
        </w:rPr>
        <w:t>investiții</w:t>
      </w:r>
      <w:r w:rsidRPr="00315B6A">
        <w:rPr>
          <w:bCs/>
          <w:lang w:val="ro-RO" w:eastAsia="en-GB"/>
        </w:rPr>
        <w:t xml:space="preserve"> europene </w:t>
      </w:r>
    </w:p>
    <w:p w14:paraId="237F8C66" w14:textId="595967D5" w:rsidR="005A54F0" w:rsidRPr="00315B6A" w:rsidRDefault="005A54F0" w:rsidP="007B1AC8">
      <w:pPr>
        <w:numPr>
          <w:ilvl w:val="0"/>
          <w:numId w:val="22"/>
        </w:numPr>
        <w:jc w:val="both"/>
        <w:rPr>
          <w:bCs/>
          <w:lang w:val="ro-RO" w:eastAsia="en-GB"/>
        </w:rPr>
      </w:pPr>
      <w:r w:rsidRPr="00315B6A">
        <w:rPr>
          <w:bCs/>
          <w:lang w:val="ro-RO" w:eastAsia="en-GB"/>
        </w:rPr>
        <w:t xml:space="preserve">Planurile operaționale </w:t>
      </w:r>
      <w:r w:rsidR="00341195">
        <w:rPr>
          <w:bCs/>
          <w:lang w:val="ro-RO" w:eastAsia="en-GB"/>
        </w:rPr>
        <w:t>d</w:t>
      </w:r>
      <w:r w:rsidRPr="00315B6A">
        <w:rPr>
          <w:bCs/>
          <w:lang w:val="ro-RO" w:eastAsia="en-GB"/>
        </w:rPr>
        <w:t>e specializare inteligentă regională</w:t>
      </w:r>
    </w:p>
    <w:p w14:paraId="093CC864" w14:textId="1D757DEB" w:rsidR="008F78D5" w:rsidRPr="000C7E09" w:rsidRDefault="005A54F0" w:rsidP="001732CD">
      <w:pPr>
        <w:numPr>
          <w:ilvl w:val="0"/>
          <w:numId w:val="22"/>
        </w:numPr>
        <w:jc w:val="both"/>
        <w:rPr>
          <w:bCs/>
          <w:lang w:val="ro-RO" w:eastAsia="en-GB"/>
        </w:rPr>
      </w:pPr>
      <w:r w:rsidRPr="00315B6A">
        <w:rPr>
          <w:bCs/>
          <w:lang w:val="ro-RO" w:eastAsia="en-GB"/>
        </w:rPr>
        <w:t>Schemele de ajutor de stat pentru stimularea investițiilor strategice pentru noi activități economice</w:t>
      </w:r>
      <w:r w:rsidR="00315B6A" w:rsidRPr="00315B6A">
        <w:rPr>
          <w:bCs/>
          <w:lang w:val="ro-RO" w:eastAsia="en-GB"/>
        </w:rPr>
        <w:t>, luând în considerare și orientările privind IPCEI comunicate de instituțiile europene.</w:t>
      </w:r>
    </w:p>
    <w:p w14:paraId="6256FABC" w14:textId="76F68822" w:rsidR="00644844" w:rsidRPr="00BE11B9" w:rsidRDefault="00644844" w:rsidP="001732CD">
      <w:pPr>
        <w:jc w:val="both"/>
        <w:rPr>
          <w:bCs/>
          <w:lang w:eastAsia="en-GB"/>
        </w:rPr>
      </w:pPr>
    </w:p>
    <w:p w14:paraId="47D0B584" w14:textId="63E52929" w:rsidR="001732CD" w:rsidRPr="00C7565E" w:rsidRDefault="00C7565E" w:rsidP="001732CD">
      <w:pPr>
        <w:jc w:val="both"/>
        <w:rPr>
          <w:sz w:val="24"/>
          <w:szCs w:val="24"/>
          <w:lang w:val="en-GB" w:eastAsia="en-GB"/>
        </w:rPr>
      </w:pPr>
      <w:r w:rsidRPr="00C7565E">
        <w:rPr>
          <w:bCs/>
          <w:lang w:eastAsia="en-GB"/>
        </w:rPr>
        <w:t>Ministerul Investițiilor și Proiectelor Europene va reprezenta Guvernul României. Alte ministere pot contribui cu expertiză.</w:t>
      </w:r>
    </w:p>
    <w:p w14:paraId="1C240DF6" w14:textId="3DFA9C23" w:rsidR="002C663F" w:rsidRPr="00C7565E" w:rsidRDefault="002C663F" w:rsidP="002C663F">
      <w:pPr>
        <w:keepLines/>
        <w:shd w:val="clear" w:color="auto" w:fill="D9D9D9" w:themeFill="background1" w:themeFillShade="D9"/>
        <w:spacing w:beforeLines="60" w:before="144" w:afterLines="60" w:after="144"/>
        <w:jc w:val="both"/>
        <w:rPr>
          <w:b/>
          <w:bCs/>
          <w:sz w:val="28"/>
          <w:szCs w:val="28"/>
          <w:lang w:eastAsia="en-GB"/>
        </w:rPr>
      </w:pPr>
      <w:r w:rsidRPr="00C7565E">
        <w:rPr>
          <w:b/>
          <w:bCs/>
          <w:sz w:val="28"/>
          <w:szCs w:val="28"/>
          <w:lang w:eastAsia="en-GB"/>
        </w:rPr>
        <w:t>Target group</w:t>
      </w:r>
    </w:p>
    <w:p w14:paraId="6657B4EF" w14:textId="71CEFDEA" w:rsidR="002C663F" w:rsidRDefault="00315B6A" w:rsidP="001732CD">
      <w:pPr>
        <w:jc w:val="both"/>
        <w:rPr>
          <w:lang w:val="en-GB" w:eastAsia="en-GB"/>
        </w:rPr>
      </w:pPr>
      <w:r>
        <w:rPr>
          <w:lang w:val="en-GB" w:eastAsia="en-GB"/>
        </w:rPr>
        <w:t xml:space="preserve">Grupul </w:t>
      </w:r>
      <w:r w:rsidR="00D83231">
        <w:rPr>
          <w:lang w:val="en-GB" w:eastAsia="en-GB"/>
        </w:rPr>
        <w:t>țintă</w:t>
      </w:r>
      <w:r>
        <w:rPr>
          <w:lang w:val="en-GB" w:eastAsia="en-GB"/>
        </w:rPr>
        <w:t xml:space="preserve"> include toți actorii din lanțul de valori în componente și sisteme microelectronice, după cum </w:t>
      </w:r>
      <w:r w:rsidR="00A50103">
        <w:rPr>
          <w:lang w:val="en-GB" w:eastAsia="en-GB"/>
        </w:rPr>
        <w:t xml:space="preserve">rezultă din exemplele următoare care listează o parte dintre entitățile angajate activ în Grupul de Lucru </w:t>
      </w:r>
      <w:r w:rsidR="001B340D">
        <w:rPr>
          <w:lang w:val="en-GB" w:eastAsia="en-GB"/>
        </w:rPr>
        <w:t>sau care au răspuns la apelurile autorităților naționale, reprezentând</w:t>
      </w:r>
      <w:r w:rsidR="00A50103">
        <w:rPr>
          <w:lang w:val="en-GB" w:eastAsia="en-GB"/>
        </w:rPr>
        <w:t xml:space="preserve"> doar un subset al participanților potențiali:</w:t>
      </w:r>
    </w:p>
    <w:p w14:paraId="7D151E4F" w14:textId="6EA9B023" w:rsidR="00315B6A" w:rsidRDefault="00A50103" w:rsidP="00B2741F">
      <w:pPr>
        <w:numPr>
          <w:ilvl w:val="0"/>
          <w:numId w:val="23"/>
        </w:numPr>
        <w:ind w:left="357"/>
        <w:rPr>
          <w:rFonts w:eastAsia="Calibri" w:cs="Times New Roman"/>
          <w:lang w:val="ro-RO"/>
        </w:rPr>
      </w:pPr>
      <w:r>
        <w:rPr>
          <w:lang w:val="en-GB" w:eastAsia="en-GB"/>
        </w:rPr>
        <w:t>Î</w:t>
      </w:r>
      <w:r w:rsidR="00315B6A" w:rsidRPr="00315B6A">
        <w:rPr>
          <w:lang w:val="en-GB" w:eastAsia="en-GB"/>
        </w:rPr>
        <w:t>ntreprinderi  mari:</w:t>
      </w:r>
      <w:r w:rsidR="00315B6A" w:rsidRPr="00315B6A">
        <w:rPr>
          <w:rFonts w:eastAsia="Calibri" w:cs="Times New Roman"/>
          <w:lang w:val="ro-RO"/>
        </w:rPr>
        <w:t xml:space="preserve"> Continental Automotive România</w:t>
      </w:r>
      <w:r>
        <w:rPr>
          <w:rFonts w:eastAsia="Calibri" w:cs="Times New Roman"/>
          <w:lang w:val="ro-RO"/>
        </w:rPr>
        <w:t xml:space="preserve"> (utilizator</w:t>
      </w:r>
      <w:r w:rsidR="002C4E00">
        <w:rPr>
          <w:rFonts w:eastAsia="Calibri" w:cs="Times New Roman"/>
          <w:lang w:val="ro-RO"/>
        </w:rPr>
        <w:t>/</w:t>
      </w:r>
      <w:r w:rsidR="002C4E00" w:rsidRPr="002C4E00">
        <w:rPr>
          <w:rFonts w:eastAsia="Calibri" w:cs="Times New Roman"/>
          <w:lang w:val="ro-RO"/>
        </w:rPr>
        <w:t xml:space="preserve"> </w:t>
      </w:r>
      <w:r w:rsidR="002C4E00">
        <w:rPr>
          <w:rFonts w:eastAsia="Calibri" w:cs="Times New Roman"/>
          <w:lang w:val="ro-RO"/>
        </w:rPr>
        <w:t>tehnologie</w:t>
      </w:r>
      <w:r>
        <w:rPr>
          <w:rFonts w:eastAsia="Calibri" w:cs="Times New Roman"/>
          <w:lang w:val="ro-RO"/>
        </w:rPr>
        <w:t>)</w:t>
      </w:r>
      <w:r w:rsidR="00315B6A" w:rsidRPr="00315B6A">
        <w:rPr>
          <w:rFonts w:eastAsia="Calibri" w:cs="Times New Roman"/>
          <w:lang w:val="ro-RO"/>
        </w:rPr>
        <w:t xml:space="preserve">, </w:t>
      </w:r>
      <w:r w:rsidRPr="00315B6A">
        <w:rPr>
          <w:rFonts w:eastAsia="Calibri" w:cs="Times New Roman"/>
          <w:lang w:val="ro-RO"/>
        </w:rPr>
        <w:t xml:space="preserve"> </w:t>
      </w:r>
      <w:r w:rsidR="00EC6F19">
        <w:rPr>
          <w:rFonts w:eastAsia="Calibri" w:cs="Times New Roman"/>
          <w:lang w:val="ro-RO"/>
        </w:rPr>
        <w:t>Bosch (utilizator/</w:t>
      </w:r>
      <w:r w:rsidR="00EC6F19" w:rsidRPr="002C4E00">
        <w:rPr>
          <w:rFonts w:eastAsia="Calibri" w:cs="Times New Roman"/>
          <w:lang w:val="ro-RO"/>
        </w:rPr>
        <w:t xml:space="preserve"> </w:t>
      </w:r>
      <w:r w:rsidR="00EC6F19">
        <w:rPr>
          <w:rFonts w:eastAsia="Calibri" w:cs="Times New Roman"/>
          <w:lang w:val="ro-RO"/>
        </w:rPr>
        <w:t>tehnologie)</w:t>
      </w:r>
      <w:r w:rsidR="00EC6F19" w:rsidRPr="00315B6A">
        <w:rPr>
          <w:rFonts w:eastAsia="Calibri" w:cs="Times New Roman"/>
          <w:lang w:val="ro-RO"/>
        </w:rPr>
        <w:t xml:space="preserve">,  </w:t>
      </w:r>
      <w:r w:rsidRPr="00315B6A">
        <w:rPr>
          <w:rFonts w:eastAsia="Calibri" w:cs="Times New Roman"/>
          <w:lang w:val="ro-RO"/>
        </w:rPr>
        <w:t>Siemens</w:t>
      </w:r>
      <w:r w:rsidR="00FB7D96">
        <w:rPr>
          <w:rFonts w:eastAsia="Calibri" w:cs="Times New Roman"/>
          <w:lang w:val="ro-RO"/>
        </w:rPr>
        <w:t xml:space="preserve"> Manufacturing</w:t>
      </w:r>
      <w:r>
        <w:rPr>
          <w:rFonts w:eastAsia="Calibri" w:cs="Times New Roman"/>
          <w:lang w:val="ro-RO"/>
        </w:rPr>
        <w:t xml:space="preserve"> </w:t>
      </w:r>
      <w:r w:rsidR="00A13183">
        <w:rPr>
          <w:rFonts w:eastAsia="Calibri" w:cs="Times New Roman"/>
          <w:lang w:val="ro-RO"/>
        </w:rPr>
        <w:t>- Simea</w:t>
      </w:r>
      <w:r>
        <w:rPr>
          <w:rFonts w:eastAsia="Calibri" w:cs="Times New Roman"/>
          <w:lang w:val="ro-RO"/>
        </w:rPr>
        <w:t xml:space="preserve"> (utilizator)</w:t>
      </w:r>
      <w:r w:rsidR="00FB7D96">
        <w:rPr>
          <w:rFonts w:eastAsia="Calibri" w:cs="Times New Roman"/>
          <w:lang w:val="ro-RO"/>
        </w:rPr>
        <w:t>,</w:t>
      </w:r>
      <w:r>
        <w:rPr>
          <w:rFonts w:eastAsia="Calibri" w:cs="Times New Roman"/>
          <w:lang w:val="ro-RO"/>
        </w:rPr>
        <w:t xml:space="preserve"> </w:t>
      </w:r>
      <w:r w:rsidR="00315B6A" w:rsidRPr="00315B6A">
        <w:rPr>
          <w:rFonts w:eastAsia="Calibri" w:cs="Times New Roman"/>
          <w:lang w:val="ro-RO"/>
        </w:rPr>
        <w:t>Infineon Technologies România</w:t>
      </w:r>
      <w:r>
        <w:rPr>
          <w:rFonts w:eastAsia="Calibri" w:cs="Times New Roman"/>
          <w:lang w:val="ro-RO"/>
        </w:rPr>
        <w:t xml:space="preserve"> (tehnologie)</w:t>
      </w:r>
      <w:r w:rsidR="00315B6A" w:rsidRPr="00315B6A">
        <w:rPr>
          <w:rFonts w:eastAsia="Calibri" w:cs="Times New Roman"/>
          <w:lang w:val="ro-RO"/>
        </w:rPr>
        <w:t>, NXP România</w:t>
      </w:r>
      <w:r>
        <w:rPr>
          <w:rFonts w:eastAsia="Calibri" w:cs="Times New Roman"/>
          <w:lang w:val="ro-RO"/>
        </w:rPr>
        <w:t xml:space="preserve"> (tehnologie)</w:t>
      </w:r>
      <w:r w:rsidR="00EC6F19">
        <w:rPr>
          <w:rFonts w:eastAsia="Calibri" w:cs="Times New Roman"/>
          <w:lang w:val="ro-RO"/>
        </w:rPr>
        <w:t xml:space="preserve"> </w:t>
      </w:r>
      <w:r w:rsidR="0073702D">
        <w:rPr>
          <w:rFonts w:eastAsia="Calibri" w:cs="Times New Roman"/>
          <w:lang w:val="ro-RO"/>
        </w:rPr>
        <w:t>precum și alte intreprinderi reprezentate de</w:t>
      </w:r>
      <w:r w:rsidR="00F27199">
        <w:rPr>
          <w:rFonts w:eastAsia="Calibri" w:cs="Times New Roman"/>
          <w:lang w:val="ro-RO"/>
        </w:rPr>
        <w:t xml:space="preserve"> Camera de Comerț și Industrie Româno-German</w:t>
      </w:r>
      <w:r w:rsidR="00EB688C">
        <w:rPr>
          <w:rFonts w:eastAsia="Calibri" w:cs="Times New Roman"/>
          <w:lang w:val="ro-RO"/>
        </w:rPr>
        <w:t>ă</w:t>
      </w:r>
      <w:r w:rsidR="00F27199">
        <w:rPr>
          <w:rFonts w:eastAsia="Calibri" w:cs="Times New Roman"/>
          <w:lang w:val="ro-RO"/>
        </w:rPr>
        <w:t xml:space="preserve"> - </w:t>
      </w:r>
      <w:r w:rsidR="0073702D">
        <w:rPr>
          <w:rFonts w:eastAsia="Calibri" w:cs="Times New Roman"/>
          <w:lang w:val="ro-RO"/>
        </w:rPr>
        <w:t xml:space="preserve"> </w:t>
      </w:r>
      <w:r w:rsidR="00F27199" w:rsidRPr="00F27199">
        <w:rPr>
          <w:rFonts w:eastAsia="Calibri" w:cs="Times New Roman"/>
          <w:lang w:val="ro-RO"/>
        </w:rPr>
        <w:t>AHK România</w:t>
      </w:r>
      <w:r w:rsidR="00D34591">
        <w:rPr>
          <w:rFonts w:eastAsia="Calibri" w:cs="Times New Roman"/>
          <w:lang w:val="ro-RO"/>
        </w:rPr>
        <w:t xml:space="preserve"> </w:t>
      </w:r>
      <w:r w:rsidR="001D4E0C">
        <w:rPr>
          <w:rFonts w:eastAsia="Calibri" w:cs="Times New Roman"/>
          <w:lang w:val="ro-RO"/>
        </w:rPr>
        <w:t xml:space="preserve">și </w:t>
      </w:r>
      <w:r w:rsidR="00D34591">
        <w:rPr>
          <w:rFonts w:eastAsia="Calibri" w:cs="Times New Roman"/>
          <w:lang w:val="ro-RO"/>
        </w:rPr>
        <w:t xml:space="preserve">de </w:t>
      </w:r>
      <w:r w:rsidR="000627FB" w:rsidRPr="000627FB">
        <w:rPr>
          <w:rFonts w:eastAsia="Calibri" w:cs="Times New Roman"/>
          <w:lang w:val="ro-RO"/>
        </w:rPr>
        <w:t>Parteneriatul Auto Român</w:t>
      </w:r>
      <w:r w:rsidR="000B71BC">
        <w:rPr>
          <w:rFonts w:eastAsia="Calibri" w:cs="Times New Roman"/>
          <w:lang w:val="ro-RO"/>
        </w:rPr>
        <w:t xml:space="preserve"> </w:t>
      </w:r>
    </w:p>
    <w:p w14:paraId="68A84095" w14:textId="14C1F2CA" w:rsidR="00315B6A" w:rsidRDefault="00315B6A" w:rsidP="00A50103">
      <w:pPr>
        <w:numPr>
          <w:ilvl w:val="0"/>
          <w:numId w:val="23"/>
        </w:numPr>
        <w:ind w:left="357"/>
        <w:rPr>
          <w:rFonts w:eastAsia="Calibri" w:cs="Times New Roman"/>
          <w:lang w:val="ro-RO"/>
        </w:rPr>
      </w:pPr>
      <w:r w:rsidRPr="00315B6A">
        <w:rPr>
          <w:rFonts w:eastAsia="Calibri" w:cs="Times New Roman"/>
          <w:lang w:val="ro-RO"/>
        </w:rPr>
        <w:t>Între</w:t>
      </w:r>
      <w:r w:rsidR="00A50103">
        <w:rPr>
          <w:rFonts w:eastAsia="Calibri" w:cs="Times New Roman"/>
          <w:lang w:val="ro-RO"/>
        </w:rPr>
        <w:t>p</w:t>
      </w:r>
      <w:r w:rsidRPr="00315B6A">
        <w:rPr>
          <w:rFonts w:eastAsia="Calibri" w:cs="Times New Roman"/>
          <w:lang w:val="ro-RO"/>
        </w:rPr>
        <w:t>rinderi mici și mijlocii, fie direct (AlfaRom</w:t>
      </w:r>
      <w:r w:rsidR="001B340D">
        <w:rPr>
          <w:rFonts w:eastAsia="Calibri" w:cs="Times New Roman"/>
          <w:lang w:val="ro-RO"/>
        </w:rPr>
        <w:t xml:space="preserve">, </w:t>
      </w:r>
      <w:r w:rsidR="001B340D" w:rsidRPr="001B340D">
        <w:rPr>
          <w:rFonts w:eastAsia="Calibri" w:cs="Times New Roman"/>
          <w:lang w:val="ro-RO"/>
        </w:rPr>
        <w:t>EASYIC SRL</w:t>
      </w:r>
      <w:r w:rsidR="001B340D">
        <w:rPr>
          <w:rFonts w:eastAsia="Calibri" w:cs="Times New Roman"/>
          <w:lang w:val="ro-RO"/>
        </w:rPr>
        <w:t xml:space="preserve">, </w:t>
      </w:r>
      <w:r w:rsidR="0015636F" w:rsidRPr="0015636F">
        <w:rPr>
          <w:rFonts w:eastAsia="Calibri" w:cs="Times New Roman"/>
          <w:lang w:val="ro-RO"/>
        </w:rPr>
        <w:t>SYSWIN SOLUTIONS SRL</w:t>
      </w:r>
      <w:r>
        <w:rPr>
          <w:rFonts w:eastAsia="Calibri" w:cs="Times New Roman"/>
          <w:lang w:val="ro-RO"/>
        </w:rPr>
        <w:t>) fie prin asociațiile industriale care le reprezi</w:t>
      </w:r>
      <w:r w:rsidR="00A50103">
        <w:rPr>
          <w:rFonts w:eastAsia="Calibri" w:cs="Times New Roman"/>
          <w:lang w:val="ro-RO"/>
        </w:rPr>
        <w:t>n</w:t>
      </w:r>
      <w:r>
        <w:rPr>
          <w:rFonts w:eastAsia="Calibri" w:cs="Times New Roman"/>
          <w:lang w:val="ro-RO"/>
        </w:rPr>
        <w:t>tă (ARIES, APTE)</w:t>
      </w:r>
    </w:p>
    <w:p w14:paraId="40F51EDA" w14:textId="5C44BA38" w:rsidR="00A50103" w:rsidRDefault="00A50103" w:rsidP="00A50103">
      <w:pPr>
        <w:numPr>
          <w:ilvl w:val="0"/>
          <w:numId w:val="23"/>
        </w:numPr>
        <w:ind w:left="357"/>
        <w:rPr>
          <w:rFonts w:eastAsia="Calibri" w:cs="Times New Roman"/>
          <w:lang w:val="ro-RO"/>
        </w:rPr>
      </w:pPr>
      <w:r>
        <w:rPr>
          <w:rFonts w:eastAsia="Calibri" w:cs="Times New Roman"/>
          <w:lang w:val="ro-RO"/>
        </w:rPr>
        <w:t>Cercetare instituțională: Institutul Național de Cercetare Dezvoltare în Microtehnologii „IMT București”</w:t>
      </w:r>
    </w:p>
    <w:p w14:paraId="43314B9F" w14:textId="76AFAAA2" w:rsidR="00A50103" w:rsidRPr="00A50103" w:rsidRDefault="00A50103" w:rsidP="00A50103">
      <w:pPr>
        <w:numPr>
          <w:ilvl w:val="0"/>
          <w:numId w:val="23"/>
        </w:numPr>
        <w:ind w:left="357"/>
        <w:rPr>
          <w:rFonts w:eastAsia="Calibri" w:cs="Times New Roman"/>
          <w:lang w:val="ro-RO"/>
        </w:rPr>
      </w:pPr>
      <w:r>
        <w:rPr>
          <w:rFonts w:eastAsia="Calibri" w:cs="Times New Roman"/>
          <w:lang w:val="ro-RO"/>
        </w:rPr>
        <w:t xml:space="preserve">Cercetare universitară și învățământ superior: Universitatea Politehnica București, Universitatea </w:t>
      </w:r>
      <w:r w:rsidR="001B340D">
        <w:rPr>
          <w:rFonts w:eastAsia="Calibri" w:cs="Times New Roman"/>
          <w:lang w:val="ro-RO"/>
        </w:rPr>
        <w:t>Politehnica</w:t>
      </w:r>
      <w:r>
        <w:rPr>
          <w:rFonts w:eastAsia="Calibri" w:cs="Times New Roman"/>
          <w:lang w:val="ro-RO"/>
        </w:rPr>
        <w:t xml:space="preserve"> Timișoara, Universitatea Tehnică Cluj/Napoca, Universitatea Tehnică Iași</w:t>
      </w:r>
    </w:p>
    <w:p w14:paraId="6A46F70F" w14:textId="23E03E05" w:rsidR="00FD4E0E" w:rsidRPr="00BE11B9" w:rsidRDefault="001732CD" w:rsidP="001732CD">
      <w:pPr>
        <w:keepLines/>
        <w:shd w:val="clear" w:color="auto" w:fill="D9D9D9" w:themeFill="background1" w:themeFillShade="D9"/>
        <w:spacing w:beforeLines="60" w:before="144" w:afterLines="60" w:after="144"/>
        <w:jc w:val="both"/>
        <w:rPr>
          <w:b/>
          <w:bCs/>
          <w:sz w:val="28"/>
          <w:szCs w:val="28"/>
          <w:lang w:eastAsia="en-GB"/>
        </w:rPr>
      </w:pPr>
      <w:r w:rsidRPr="00BE11B9">
        <w:rPr>
          <w:b/>
          <w:bCs/>
          <w:sz w:val="28"/>
          <w:szCs w:val="28"/>
          <w:lang w:eastAsia="en-GB"/>
        </w:rPr>
        <w:t xml:space="preserve"> </w:t>
      </w:r>
      <w:r w:rsidR="00BD4FE5" w:rsidRPr="00BE11B9">
        <w:rPr>
          <w:b/>
          <w:bCs/>
          <w:sz w:val="28"/>
          <w:szCs w:val="28"/>
          <w:lang w:eastAsia="en-GB"/>
        </w:rPr>
        <w:t>(</w:t>
      </w:r>
      <w:r w:rsidR="00DC40F6" w:rsidRPr="00BE11B9">
        <w:rPr>
          <w:b/>
          <w:bCs/>
          <w:sz w:val="28"/>
          <w:szCs w:val="28"/>
          <w:lang w:eastAsia="en-GB"/>
        </w:rPr>
        <w:t>Other</w:t>
      </w:r>
      <w:r w:rsidR="00BD4FE5" w:rsidRPr="00BE11B9">
        <w:rPr>
          <w:b/>
          <w:bCs/>
          <w:sz w:val="28"/>
          <w:szCs w:val="28"/>
          <w:lang w:eastAsia="en-GB"/>
        </w:rPr>
        <w:t>)</w:t>
      </w:r>
      <w:r w:rsidR="00DC40F6" w:rsidRPr="00BE11B9">
        <w:rPr>
          <w:b/>
          <w:bCs/>
          <w:sz w:val="28"/>
          <w:szCs w:val="28"/>
          <w:lang w:eastAsia="en-GB"/>
        </w:rPr>
        <w:t xml:space="preserve"> MSs participating</w:t>
      </w:r>
    </w:p>
    <w:p w14:paraId="635A91B1" w14:textId="7B17C425" w:rsidR="008E40E6" w:rsidRPr="00BD200F" w:rsidRDefault="00A50103" w:rsidP="008F0EEB">
      <w:pPr>
        <w:jc w:val="both"/>
        <w:rPr>
          <w:bCs/>
          <w:lang w:val="ro-RO" w:eastAsia="en-GB"/>
        </w:rPr>
      </w:pPr>
      <w:r w:rsidRPr="00BD200F">
        <w:rPr>
          <w:bCs/>
          <w:lang w:val="ro-RO" w:eastAsia="en-GB"/>
        </w:rPr>
        <w:t>De</w:t>
      </w:r>
      <w:r w:rsidR="00BD200F">
        <w:rPr>
          <w:bCs/>
          <w:lang w:val="ro-RO" w:eastAsia="en-GB"/>
        </w:rPr>
        <w:t>c</w:t>
      </w:r>
      <w:r w:rsidRPr="00BD200F">
        <w:rPr>
          <w:bCs/>
          <w:lang w:val="ro-RO" w:eastAsia="en-GB"/>
        </w:rPr>
        <w:t xml:space="preserve">larația Comună </w:t>
      </w:r>
      <w:r w:rsidR="008E40E6" w:rsidRPr="00BD200F">
        <w:rPr>
          <w:bCs/>
          <w:lang w:val="ro-RO" w:eastAsia="en-GB"/>
        </w:rPr>
        <w:t>“</w:t>
      </w:r>
      <w:r w:rsidR="00424680" w:rsidRPr="00BD200F">
        <w:rPr>
          <w:bCs/>
          <w:lang w:val="ro-RO" w:eastAsia="en-GB"/>
        </w:rPr>
        <w:t xml:space="preserve">Member States </w:t>
      </w:r>
      <w:r w:rsidR="008E40E6" w:rsidRPr="00BD200F">
        <w:rPr>
          <w:bCs/>
          <w:lang w:val="ro-RO" w:eastAsia="en-GB"/>
        </w:rPr>
        <w:t>D</w:t>
      </w:r>
      <w:r w:rsidR="00424680" w:rsidRPr="00BD200F">
        <w:rPr>
          <w:bCs/>
          <w:lang w:val="ro-RO" w:eastAsia="en-GB"/>
        </w:rPr>
        <w:t xml:space="preserve">eclaration on Processors and </w:t>
      </w:r>
      <w:r w:rsidR="008E40E6" w:rsidRPr="00BD200F">
        <w:rPr>
          <w:bCs/>
          <w:lang w:val="ro-RO" w:eastAsia="en-GB"/>
        </w:rPr>
        <w:t>S</w:t>
      </w:r>
      <w:r w:rsidR="00424680" w:rsidRPr="00BD200F">
        <w:rPr>
          <w:bCs/>
          <w:lang w:val="ro-RO" w:eastAsia="en-GB"/>
        </w:rPr>
        <w:t xml:space="preserve">emiconductor </w:t>
      </w:r>
      <w:r w:rsidR="008E40E6" w:rsidRPr="00BD200F">
        <w:rPr>
          <w:bCs/>
          <w:lang w:val="ro-RO" w:eastAsia="en-GB"/>
        </w:rPr>
        <w:t>T</w:t>
      </w:r>
      <w:r w:rsidR="00424680" w:rsidRPr="00BD200F">
        <w:rPr>
          <w:bCs/>
          <w:lang w:val="ro-RO" w:eastAsia="en-GB"/>
        </w:rPr>
        <w:t>echnologies</w:t>
      </w:r>
      <w:r w:rsidR="008E40E6" w:rsidRPr="00BD200F">
        <w:rPr>
          <w:bCs/>
          <w:lang w:val="ro-RO" w:eastAsia="en-GB"/>
        </w:rPr>
        <w:t>”</w:t>
      </w:r>
      <w:r w:rsidR="00424680" w:rsidRPr="00BD200F">
        <w:rPr>
          <w:bCs/>
          <w:lang w:val="ro-RO" w:eastAsia="en-GB"/>
        </w:rPr>
        <w:t xml:space="preserve"> </w:t>
      </w:r>
      <w:r w:rsidRPr="00BD200F">
        <w:rPr>
          <w:bCs/>
          <w:lang w:val="ro-RO" w:eastAsia="en-GB"/>
        </w:rPr>
        <w:t>din 7 decembrie 2020 a fost semnată de</w:t>
      </w:r>
      <w:r w:rsidR="00424680" w:rsidRPr="00BD200F">
        <w:rPr>
          <w:bCs/>
          <w:lang w:val="ro-RO" w:eastAsia="en-GB"/>
        </w:rPr>
        <w:t xml:space="preserve"> 2</w:t>
      </w:r>
      <w:r w:rsidRPr="00BD200F">
        <w:rPr>
          <w:bCs/>
          <w:lang w:val="ro-RO" w:eastAsia="en-GB"/>
        </w:rPr>
        <w:t>2 de State Membre, iar activitatea de structurare a propunerii este demarată și are loc sub coordonare</w:t>
      </w:r>
      <w:r w:rsidR="00BD200F" w:rsidRPr="00BD200F">
        <w:rPr>
          <w:bCs/>
          <w:lang w:val="ro-RO" w:eastAsia="en-GB"/>
        </w:rPr>
        <w:t xml:space="preserve"> </w:t>
      </w:r>
      <w:r w:rsidRPr="00BD200F">
        <w:rPr>
          <w:bCs/>
          <w:lang w:val="ro-RO" w:eastAsia="en-GB"/>
        </w:rPr>
        <w:t>europeană. În viitorul apropiat vor avea loc „matchin</w:t>
      </w:r>
      <w:r w:rsidR="00BD200F" w:rsidRPr="00BD200F">
        <w:rPr>
          <w:bCs/>
          <w:lang w:val="ro-RO" w:eastAsia="en-GB"/>
        </w:rPr>
        <w:t>g</w:t>
      </w:r>
      <w:r w:rsidRPr="00BD200F">
        <w:rPr>
          <w:bCs/>
          <w:lang w:val="ro-RO" w:eastAsia="en-GB"/>
        </w:rPr>
        <w:t xml:space="preserve"> events” pentru a identifica participanți din diferite State membre care vor conlucra în aceleași sub-proiecte.</w:t>
      </w:r>
    </w:p>
    <w:p w14:paraId="493C9505" w14:textId="50072A7E" w:rsidR="00DC40F6" w:rsidRPr="00BE11B9" w:rsidRDefault="00DC40F6" w:rsidP="00DC40F6">
      <w:pPr>
        <w:keepLines/>
        <w:shd w:val="clear" w:color="auto" w:fill="D9D9D9" w:themeFill="background1" w:themeFillShade="D9"/>
        <w:spacing w:beforeLines="60" w:before="144" w:afterLines="60" w:after="144"/>
        <w:jc w:val="both"/>
        <w:rPr>
          <w:b/>
          <w:bCs/>
          <w:sz w:val="28"/>
          <w:szCs w:val="28"/>
          <w:lang w:eastAsia="en-GB"/>
        </w:rPr>
      </w:pPr>
      <w:r w:rsidRPr="00BE11B9">
        <w:rPr>
          <w:b/>
          <w:bCs/>
          <w:sz w:val="28"/>
          <w:szCs w:val="28"/>
          <w:lang w:eastAsia="en-GB"/>
        </w:rPr>
        <w:t>Expected funding</w:t>
      </w:r>
    </w:p>
    <w:p w14:paraId="23DA8034" w14:textId="1ADF1BEF" w:rsidR="00A50103" w:rsidRDefault="00A50103" w:rsidP="00DC40F6">
      <w:pPr>
        <w:spacing w:beforeLines="60" w:before="144" w:afterLines="60" w:after="144"/>
        <w:jc w:val="both"/>
        <w:rPr>
          <w:lang w:eastAsia="en-GB"/>
        </w:rPr>
      </w:pPr>
      <w:r>
        <w:rPr>
          <w:lang w:eastAsia="en-GB"/>
        </w:rPr>
        <w:lastRenderedPageBreak/>
        <w:t>Fondurile alocate pentru acest proiect</w:t>
      </w:r>
      <w:r w:rsidR="002E35D0">
        <w:rPr>
          <w:lang w:eastAsia="en-GB"/>
        </w:rPr>
        <w:t xml:space="preserve"> din Planul Național de Redresare și Rezilien</w:t>
      </w:r>
      <w:r w:rsidR="00BD200F">
        <w:rPr>
          <w:lang w:eastAsia="en-GB"/>
        </w:rPr>
        <w:t>ță</w:t>
      </w:r>
      <w:r w:rsidR="002E35D0">
        <w:rPr>
          <w:lang w:eastAsia="en-GB"/>
        </w:rPr>
        <w:t xml:space="preserve"> se ridică la </w:t>
      </w:r>
      <w:r w:rsidR="00106DE4">
        <w:rPr>
          <w:lang w:eastAsia="en-GB"/>
        </w:rPr>
        <w:t xml:space="preserve">o prima rezervare de </w:t>
      </w:r>
      <w:r w:rsidR="00C7565E">
        <w:rPr>
          <w:lang w:eastAsia="en-GB"/>
        </w:rPr>
        <w:t>300</w:t>
      </w:r>
      <w:r w:rsidR="002E35D0">
        <w:rPr>
          <w:lang w:eastAsia="en-GB"/>
        </w:rPr>
        <w:t xml:space="preserve"> de milioane de euro.</w:t>
      </w:r>
      <w:r w:rsidR="00BD200F">
        <w:rPr>
          <w:lang w:eastAsia="en-GB"/>
        </w:rPr>
        <w:t xml:space="preserve"> Aceste fo</w:t>
      </w:r>
      <w:r w:rsidR="0054283F">
        <w:rPr>
          <w:lang w:eastAsia="en-GB"/>
        </w:rPr>
        <w:t>n</w:t>
      </w:r>
      <w:r w:rsidR="00BD200F">
        <w:rPr>
          <w:lang w:eastAsia="en-GB"/>
        </w:rPr>
        <w:t>duri</w:t>
      </w:r>
      <w:r w:rsidR="004E64B2">
        <w:rPr>
          <w:lang w:eastAsia="en-GB"/>
        </w:rPr>
        <w:t xml:space="preserve"> </w:t>
      </w:r>
      <w:r w:rsidR="00C33B0C">
        <w:rPr>
          <w:lang w:eastAsia="en-GB"/>
        </w:rPr>
        <w:t>pot fi considerate ca “seed funding”</w:t>
      </w:r>
      <w:r w:rsidR="00D5184E">
        <w:rPr>
          <w:lang w:eastAsia="en-GB"/>
        </w:rPr>
        <w:t xml:space="preserve">. </w:t>
      </w:r>
    </w:p>
    <w:p w14:paraId="7C3F6248" w14:textId="2BE2A07F" w:rsidR="00C7565E" w:rsidRDefault="00C7565E" w:rsidP="00DC40F6">
      <w:pPr>
        <w:spacing w:beforeLines="60" w:before="144" w:afterLines="60" w:after="144"/>
        <w:jc w:val="both"/>
        <w:rPr>
          <w:lang w:eastAsia="en-GB"/>
        </w:rPr>
      </w:pPr>
      <w:r>
        <w:rPr>
          <w:lang w:eastAsia="en-GB"/>
        </w:rPr>
        <w:t>Suport suplimentar poate fi acordat din viitoarele programe operaționale, în special POCIDIF specializat pe Cercetare și inovare.</w:t>
      </w:r>
    </w:p>
    <w:p w14:paraId="65D88487" w14:textId="6461A568" w:rsidR="00191622" w:rsidRPr="00BE11B9" w:rsidRDefault="00191622" w:rsidP="00191622">
      <w:pPr>
        <w:keepLines/>
        <w:shd w:val="clear" w:color="auto" w:fill="D9D9D9" w:themeFill="background1" w:themeFillShade="D9"/>
        <w:spacing w:beforeLines="60" w:before="144" w:afterLines="60" w:after="144"/>
        <w:jc w:val="both"/>
        <w:rPr>
          <w:b/>
          <w:bCs/>
          <w:sz w:val="28"/>
          <w:szCs w:val="28"/>
          <w:lang w:eastAsia="en-GB"/>
        </w:rPr>
      </w:pPr>
      <w:r w:rsidRPr="00BE11B9">
        <w:rPr>
          <w:b/>
          <w:bCs/>
          <w:sz w:val="28"/>
          <w:szCs w:val="28"/>
          <w:lang w:eastAsia="en-GB"/>
        </w:rPr>
        <w:t>Link to reforms</w:t>
      </w:r>
    </w:p>
    <w:p w14:paraId="088AF7CD" w14:textId="7E32BD81" w:rsidR="001F13A1" w:rsidRPr="001F13A1" w:rsidRDefault="001F13A1" w:rsidP="001F13A1">
      <w:pPr>
        <w:ind w:firstLine="357"/>
        <w:rPr>
          <w:rFonts w:eastAsia="Calibri" w:cs="Times New Roman"/>
          <w:b/>
          <w:bCs/>
          <w:sz w:val="28"/>
          <w:szCs w:val="28"/>
          <w:lang w:val="ro-RO"/>
        </w:rPr>
      </w:pPr>
      <w:r w:rsidRPr="001F13A1">
        <w:rPr>
          <w:rFonts w:eastAsia="Calibri" w:cs="Times New Roman"/>
          <w:b/>
          <w:bCs/>
          <w:sz w:val="28"/>
          <w:szCs w:val="28"/>
          <w:lang w:val="ro-RO"/>
        </w:rPr>
        <w:t>Reform</w:t>
      </w:r>
      <w:r>
        <w:rPr>
          <w:rFonts w:eastAsia="Calibri" w:cs="Times New Roman"/>
          <w:b/>
          <w:bCs/>
          <w:sz w:val="28"/>
          <w:szCs w:val="28"/>
          <w:lang w:val="ro-RO"/>
        </w:rPr>
        <w:t>ă</w:t>
      </w:r>
    </w:p>
    <w:p w14:paraId="5740DFD5" w14:textId="38524B03" w:rsidR="002E35D0" w:rsidRPr="001F13A1" w:rsidRDefault="001F13A1" w:rsidP="001F13A1">
      <w:pPr>
        <w:rPr>
          <w:rFonts w:eastAsia="Calibri" w:cs="Times New Roman"/>
          <w:sz w:val="24"/>
          <w:szCs w:val="24"/>
          <w:lang w:val="ro-RO"/>
        </w:rPr>
      </w:pPr>
      <w:r w:rsidRPr="001F13A1">
        <w:rPr>
          <w:rFonts w:eastAsia="Calibri" w:cs="Times New Roman"/>
          <w:sz w:val="24"/>
          <w:szCs w:val="24"/>
          <w:lang w:val="ro-RO"/>
        </w:rPr>
        <w:t>Structurarea ecosistemului român de concepție, dezvoltare, prototipare, validare și aplicare a componentelor prin integrarea insulelor de excelență, completarea cu capabilități absente sau insuficiente și racordarea activităților la efortul european în cadrul IPCEI-ME-2.</w:t>
      </w:r>
    </w:p>
    <w:p w14:paraId="10777BB5" w14:textId="047F3E93" w:rsidR="00776184" w:rsidRPr="00BE11B9" w:rsidRDefault="00DC40F6" w:rsidP="00E13F22">
      <w:pPr>
        <w:keepLines/>
        <w:shd w:val="clear" w:color="auto" w:fill="D9D9D9" w:themeFill="background1" w:themeFillShade="D9"/>
        <w:spacing w:beforeLines="60" w:before="144" w:afterLines="60" w:after="144"/>
        <w:jc w:val="both"/>
        <w:rPr>
          <w:b/>
          <w:bCs/>
          <w:sz w:val="28"/>
          <w:szCs w:val="28"/>
          <w:lang w:eastAsia="en-GB"/>
        </w:rPr>
      </w:pPr>
      <w:r w:rsidRPr="00682319">
        <w:rPr>
          <w:b/>
          <w:bCs/>
          <w:sz w:val="28"/>
          <w:szCs w:val="28"/>
          <w:lang w:eastAsia="en-GB"/>
        </w:rPr>
        <w:t xml:space="preserve">Timeline / </w:t>
      </w:r>
      <w:r w:rsidR="000A6BD4" w:rsidRPr="00BE11B9">
        <w:rPr>
          <w:b/>
          <w:bCs/>
          <w:sz w:val="28"/>
          <w:szCs w:val="28"/>
          <w:lang w:eastAsia="en-GB"/>
        </w:rPr>
        <w:t xml:space="preserve">Examples of </w:t>
      </w:r>
      <w:r w:rsidR="00357B94" w:rsidRPr="00BE11B9">
        <w:rPr>
          <w:b/>
          <w:bCs/>
          <w:sz w:val="28"/>
          <w:szCs w:val="28"/>
          <w:lang w:eastAsia="en-GB"/>
        </w:rPr>
        <w:t>milestones and targets</w:t>
      </w:r>
      <w:r w:rsidR="00517221" w:rsidRPr="00BE11B9">
        <w:rPr>
          <w:b/>
          <w:bCs/>
          <w:sz w:val="28"/>
          <w:szCs w:val="28"/>
          <w:lang w:eastAsia="en-GB"/>
        </w:rPr>
        <w:t xml:space="preserve"> &amp; modalities for reporting</w:t>
      </w:r>
    </w:p>
    <w:p w14:paraId="01948B4D" w14:textId="67923663" w:rsidR="00991382" w:rsidRPr="00991382" w:rsidRDefault="00991382" w:rsidP="00991382">
      <w:pPr>
        <w:rPr>
          <w:lang w:eastAsia="en-GB"/>
        </w:rPr>
      </w:pPr>
      <w:r>
        <w:rPr>
          <w:lang w:eastAsia="en-GB"/>
        </w:rPr>
        <w:t>Include a short list of milestones and of targets</w:t>
      </w:r>
      <w:r w:rsidR="00D25037">
        <w:rPr>
          <w:lang w:eastAsia="en-GB"/>
        </w:rPr>
        <w:t>, between 2 and 4,</w:t>
      </w:r>
      <w:r>
        <w:rPr>
          <w:lang w:eastAsia="en-GB"/>
        </w:rPr>
        <w:t xml:space="preserve"> related to the new IPCEI on Microelectronics</w:t>
      </w:r>
      <w:r w:rsidR="00D25037">
        <w:rPr>
          <w:lang w:eastAsia="en-GB"/>
        </w:rPr>
        <w:t xml:space="preserve"> and/or the KDT JU</w:t>
      </w:r>
      <w:r>
        <w:rPr>
          <w:lang w:eastAsia="en-GB"/>
        </w:rPr>
        <w:t xml:space="preserve">. </w:t>
      </w:r>
      <w:r w:rsidRPr="00991382">
        <w:rPr>
          <w:lang w:eastAsia="en-GB"/>
        </w:rPr>
        <w:t xml:space="preserve">Milestones and targets should not be designed with regard to State aid procedural steps but only be based on concrete achievements in the delivery of the results of the </w:t>
      </w:r>
      <w:r w:rsidR="001809B3" w:rsidRPr="00991382">
        <w:rPr>
          <w:lang w:eastAsia="en-GB"/>
        </w:rPr>
        <w:t>projects</w:t>
      </w:r>
      <w:r w:rsidR="001809B3">
        <w:rPr>
          <w:lang w:eastAsia="en-GB"/>
        </w:rPr>
        <w:t xml:space="preserve"> and</w:t>
      </w:r>
      <w:r>
        <w:rPr>
          <w:lang w:eastAsia="en-GB"/>
        </w:rPr>
        <w:t xml:space="preserve"> should be</w:t>
      </w:r>
      <w:r w:rsidRPr="00991382">
        <w:rPr>
          <w:lang w:eastAsia="en-GB"/>
        </w:rPr>
        <w:t xml:space="preserve"> appropriate for R&amp;D and FID type of investments.</w:t>
      </w:r>
    </w:p>
    <w:p w14:paraId="3AB0BE66" w14:textId="77777777" w:rsidR="00991382" w:rsidRPr="00991382" w:rsidRDefault="00991382" w:rsidP="00991382">
      <w:pPr>
        <w:ind w:left="1416"/>
        <w:rPr>
          <w:lang w:eastAsia="en-GB"/>
        </w:rPr>
      </w:pPr>
    </w:p>
    <w:p w14:paraId="72299DF6" w14:textId="25FF58FA" w:rsidR="00C61637" w:rsidRPr="00837D43" w:rsidRDefault="00366F19" w:rsidP="00776184">
      <w:pPr>
        <w:rPr>
          <w:lang w:eastAsia="en-GB"/>
        </w:rPr>
      </w:pPr>
      <w:r w:rsidRPr="00E60B5D">
        <w:rPr>
          <w:b/>
          <w:lang w:eastAsia="en-GB"/>
        </w:rPr>
        <w:t>Milestones</w:t>
      </w:r>
      <w:r w:rsidR="00C61637" w:rsidRPr="00837D43">
        <w:rPr>
          <w:lang w:eastAsia="en-GB"/>
        </w:rPr>
        <w:t>:</w:t>
      </w:r>
    </w:p>
    <w:p w14:paraId="4D95824D" w14:textId="03121D36" w:rsidR="00346310" w:rsidRDefault="001F13A1" w:rsidP="00C56FD2">
      <w:pPr>
        <w:numPr>
          <w:ilvl w:val="0"/>
          <w:numId w:val="25"/>
        </w:numPr>
      </w:pPr>
      <w:r>
        <w:t>Q2 2021: Raport al autorității naționale asupra d</w:t>
      </w:r>
      <w:r w:rsidRPr="001F13A1">
        <w:t>efinir</w:t>
      </w:r>
      <w:r>
        <w:t>ii</w:t>
      </w:r>
      <w:r w:rsidRPr="001F13A1">
        <w:t xml:space="preserve"> conținutului</w:t>
      </w:r>
      <w:r>
        <w:t xml:space="preserve"> rezultată din c</w:t>
      </w:r>
      <w:r w:rsidRPr="001F13A1">
        <w:t>onsolidarea interes</w:t>
      </w:r>
      <w:r>
        <w:t>elor</w:t>
      </w:r>
      <w:r w:rsidRPr="001F13A1">
        <w:t xml:space="preserve"> naționale</w:t>
      </w:r>
      <w:r>
        <w:t xml:space="preserve"> și</w:t>
      </w:r>
      <w:r w:rsidRPr="001F13A1">
        <w:t xml:space="preserve"> atribuirea temelor</w:t>
      </w:r>
      <w:r>
        <w:t xml:space="preserve"> Statelor Membre și entităților participante în IPCEI (Milestone pentru IP</w:t>
      </w:r>
      <w:r w:rsidR="00C56FD2">
        <w:t>C</w:t>
      </w:r>
      <w:r>
        <w:t>EI la nivel european)</w:t>
      </w:r>
    </w:p>
    <w:p w14:paraId="48F8E0CB" w14:textId="258C12AF" w:rsidR="00BE6829" w:rsidRDefault="00C56FD2" w:rsidP="00396D4D">
      <w:pPr>
        <w:numPr>
          <w:ilvl w:val="0"/>
          <w:numId w:val="25"/>
        </w:numPr>
      </w:pPr>
      <w:r>
        <w:t>Q</w:t>
      </w:r>
      <w:r w:rsidR="001F7C6D">
        <w:t>2</w:t>
      </w:r>
      <w:r>
        <w:t xml:space="preserve"> 202</w:t>
      </w:r>
      <w:r w:rsidR="00C2103D">
        <w:t>2</w:t>
      </w:r>
      <w:r>
        <w:t xml:space="preserve">: </w:t>
      </w:r>
      <w:r w:rsidR="008C2635">
        <w:t>Stabilirea modelului</w:t>
      </w:r>
      <w:r w:rsidR="00AB4C6A">
        <w:t xml:space="preserve"> </w:t>
      </w:r>
      <w:r w:rsidR="008C2635">
        <w:t>de funcționare contractuală a</w:t>
      </w:r>
      <w:r w:rsidR="003A54AD">
        <w:t xml:space="preserve"> </w:t>
      </w:r>
      <w:r>
        <w:t>hub</w:t>
      </w:r>
      <w:r w:rsidR="0017041C">
        <w:t>-</w:t>
      </w:r>
      <w:r>
        <w:t>uri</w:t>
      </w:r>
      <w:r w:rsidR="0017041C">
        <w:t>lor</w:t>
      </w:r>
      <w:r>
        <w:t xml:space="preserve"> de inovare </w:t>
      </w:r>
      <w:r w:rsidR="00394BE5">
        <w:t>digital</w:t>
      </w:r>
      <w:r w:rsidR="00B4423B">
        <w:t xml:space="preserve"> destinate microelectronicii aliniate cu prioritățile regionale de specializre inteligentă</w:t>
      </w:r>
    </w:p>
    <w:p w14:paraId="118969C0" w14:textId="71906503" w:rsidR="00D2694C" w:rsidRDefault="00D9534F" w:rsidP="00396D4D">
      <w:pPr>
        <w:numPr>
          <w:ilvl w:val="0"/>
          <w:numId w:val="25"/>
        </w:numPr>
      </w:pPr>
      <w:r>
        <w:t>Q3 2022: Stabilirea unui model de contract cadru pentru proiecte colaborative industrial cu tematic</w:t>
      </w:r>
      <w:r w:rsidR="003F7DF0">
        <w:t>i</w:t>
      </w:r>
      <w:r>
        <w:t xml:space="preserve"> </w:t>
      </w:r>
      <w:r w:rsidR="003F7DF0">
        <w:t xml:space="preserve">definite in </w:t>
      </w:r>
      <w:r w:rsidR="006D3220">
        <w:t xml:space="preserve">componenta 6 </w:t>
      </w:r>
      <w:r w:rsidR="003F7DF0">
        <w:t>Scale-up</w:t>
      </w:r>
      <w:r w:rsidR="006D3220">
        <w:t xml:space="preserve"> RRF</w:t>
      </w:r>
      <w:r w:rsidR="003F7DF0">
        <w:t>.</w:t>
      </w:r>
    </w:p>
    <w:p w14:paraId="2D3E0E43" w14:textId="14ABCB27" w:rsidR="00C56FD2" w:rsidRPr="00837D43" w:rsidRDefault="00C56FD2" w:rsidP="00C56FD2">
      <w:pPr>
        <w:numPr>
          <w:ilvl w:val="0"/>
          <w:numId w:val="25"/>
        </w:numPr>
      </w:pPr>
      <w:r>
        <w:t>Q2 2024: Înființarea unui centru național de tehnologii avansate ca parteneriat public-privat</w:t>
      </w:r>
    </w:p>
    <w:p w14:paraId="781AD53C" w14:textId="77777777" w:rsidR="00366F19" w:rsidRPr="00837D43" w:rsidRDefault="00366F19" w:rsidP="004D3BAD">
      <w:pPr>
        <w:rPr>
          <w:lang w:eastAsia="en-GB"/>
        </w:rPr>
      </w:pPr>
    </w:p>
    <w:p w14:paraId="2B53D18F" w14:textId="3B0EF39D" w:rsidR="00366F19" w:rsidRPr="00837D43" w:rsidRDefault="00991382" w:rsidP="00366F19">
      <w:pPr>
        <w:rPr>
          <w:lang w:eastAsia="en-GB"/>
        </w:rPr>
      </w:pPr>
      <w:r w:rsidRPr="00837D43">
        <w:rPr>
          <w:b/>
          <w:lang w:eastAsia="en-GB"/>
        </w:rPr>
        <w:t>T</w:t>
      </w:r>
      <w:r w:rsidR="00366F19" w:rsidRPr="00837D43">
        <w:rPr>
          <w:b/>
          <w:lang w:eastAsia="en-GB"/>
        </w:rPr>
        <w:t>argets</w:t>
      </w:r>
      <w:r w:rsidR="00366F19" w:rsidRPr="00837D43">
        <w:rPr>
          <w:lang w:eastAsia="en-GB"/>
        </w:rPr>
        <w:t>:</w:t>
      </w:r>
    </w:p>
    <w:p w14:paraId="5E75C3C6" w14:textId="133C0DDF" w:rsidR="00C56FD2" w:rsidRDefault="00C56FD2" w:rsidP="00C56FD2">
      <w:pPr>
        <w:numPr>
          <w:ilvl w:val="0"/>
          <w:numId w:val="26"/>
        </w:numPr>
      </w:pPr>
      <w:r>
        <w:t>Q4 2022: Participarea a cel puțin 3 entități din România în consorțiile răspunzând apelurilor de proiecte ale Întreprinderii Comune Tehnologii Digitale Esențiale (KDT JU)</w:t>
      </w:r>
    </w:p>
    <w:p w14:paraId="317F7E82" w14:textId="70935020" w:rsidR="00346310" w:rsidRDefault="001F13A1" w:rsidP="00C56FD2">
      <w:pPr>
        <w:numPr>
          <w:ilvl w:val="0"/>
          <w:numId w:val="26"/>
        </w:numPr>
      </w:pPr>
      <w:r>
        <w:t xml:space="preserve">Q4 2022: </w:t>
      </w:r>
      <w:r w:rsidRPr="001F13A1">
        <w:t>Atribuirea granturilor după acceptarea proiectului de către C</w:t>
      </w:r>
      <w:r w:rsidR="00C56FD2">
        <w:t xml:space="preserve">omisia </w:t>
      </w:r>
      <w:r w:rsidRPr="001F13A1">
        <w:t>E</w:t>
      </w:r>
      <w:r w:rsidR="00C56FD2">
        <w:t>uropeană (Target pentru IPCEI la nivel european)</w:t>
      </w:r>
    </w:p>
    <w:p w14:paraId="04CA0ACA" w14:textId="1A3A594F" w:rsidR="00C56FD2" w:rsidRDefault="00C56FD2" w:rsidP="00C56FD2">
      <w:pPr>
        <w:numPr>
          <w:ilvl w:val="0"/>
          <w:numId w:val="26"/>
        </w:numPr>
      </w:pPr>
      <w:r>
        <w:t>Q</w:t>
      </w:r>
      <w:r w:rsidR="00153FDF">
        <w:t>2</w:t>
      </w:r>
      <w:r>
        <w:t xml:space="preserve"> 202</w:t>
      </w:r>
      <w:r w:rsidR="00153FDF">
        <w:t>3</w:t>
      </w:r>
      <w:r>
        <w:t xml:space="preserve">: 100% din hub-urile de inovare digitale au lansat proiecte </w:t>
      </w:r>
      <w:r w:rsidR="00E00A50">
        <w:t>î</w:t>
      </w:r>
      <w:r>
        <w:t>n specialitatea lor</w:t>
      </w:r>
    </w:p>
    <w:p w14:paraId="16CF5D17" w14:textId="0C185F8C" w:rsidR="00EE5395" w:rsidRDefault="00EE5395" w:rsidP="00C56FD2">
      <w:pPr>
        <w:numPr>
          <w:ilvl w:val="0"/>
          <w:numId w:val="26"/>
        </w:numPr>
      </w:pPr>
      <w:r>
        <w:t xml:space="preserve">Q4 2024: </w:t>
      </w:r>
      <w:r w:rsidR="00E65387">
        <w:t xml:space="preserve">Participanții </w:t>
      </w:r>
      <w:r w:rsidR="009C3B17">
        <w:t xml:space="preserve">industriali ai </w:t>
      </w:r>
      <w:r w:rsidR="00CF77C2">
        <w:t>ecosistemului</w:t>
      </w:r>
      <w:r w:rsidR="00E65387">
        <w:t xml:space="preserve"> vor demonstra un câștig de afaceri cu sisteme embedded efficiente energetic</w:t>
      </w:r>
    </w:p>
    <w:p w14:paraId="519B3562" w14:textId="4061E1A1" w:rsidR="00C56FD2" w:rsidRPr="00837D43" w:rsidRDefault="00C56FD2" w:rsidP="00C56FD2">
      <w:pPr>
        <w:numPr>
          <w:ilvl w:val="0"/>
          <w:numId w:val="26"/>
        </w:numPr>
      </w:pPr>
      <w:r>
        <w:t xml:space="preserve">Q2 2025: </w:t>
      </w:r>
      <w:r w:rsidR="00D07600">
        <w:t xml:space="preserve"> </w:t>
      </w:r>
      <w:r w:rsidR="00DC2CD1">
        <w:t>C</w:t>
      </w:r>
      <w:r w:rsidR="002D0929" w:rsidRPr="00A145EE">
        <w:rPr>
          <w:lang w:val="ro-RO"/>
        </w:rPr>
        <w:t>entru național de tehnologii avansate</w:t>
      </w:r>
      <w:r w:rsidR="00DC2CD1">
        <w:rPr>
          <w:lang w:val="ro-RO"/>
        </w:rPr>
        <w:t xml:space="preserve"> </w:t>
      </w:r>
      <w:r w:rsidR="00536713">
        <w:rPr>
          <w:lang w:val="ro-RO"/>
        </w:rPr>
        <w:t>finalizeaz</w:t>
      </w:r>
      <w:r w:rsidR="00982236">
        <w:rPr>
          <w:lang w:val="ro-RO"/>
        </w:rPr>
        <w:t>ă</w:t>
      </w:r>
      <w:r w:rsidR="00DC2CD1">
        <w:rPr>
          <w:lang w:val="ro-RO"/>
        </w:rPr>
        <w:t xml:space="preserve"> contracte cu livrabile</w:t>
      </w:r>
    </w:p>
    <w:p w14:paraId="0324FD66" w14:textId="72A9E9A8" w:rsidR="00346310" w:rsidRPr="00837D43" w:rsidRDefault="00C56FD2" w:rsidP="0016351E">
      <w:pPr>
        <w:pStyle w:val="ListParagraph"/>
        <w:numPr>
          <w:ilvl w:val="0"/>
          <w:numId w:val="26"/>
        </w:numPr>
      </w:pPr>
      <w:r>
        <w:t xml:space="preserve">Q3 2026: </w:t>
      </w:r>
      <w:r w:rsidRPr="00C56FD2">
        <w:t>Angajarea a 95% și plata a 85% din creditele aprobate</w:t>
      </w:r>
      <w:r>
        <w:t xml:space="preserve"> pe baza </w:t>
      </w:r>
      <w:r w:rsidRPr="00C56FD2">
        <w:t>raport</w:t>
      </w:r>
      <w:r>
        <w:t xml:space="preserve">ului </w:t>
      </w:r>
      <w:r w:rsidRPr="00C56FD2">
        <w:t>și analiz</w:t>
      </w:r>
      <w:r>
        <w:t>ei</w:t>
      </w:r>
      <w:r w:rsidRPr="00C56FD2">
        <w:t xml:space="preserve"> ex-post a excuției</w:t>
      </w:r>
      <w:r>
        <w:t xml:space="preserve"> (Target pentru IPCEI la nivel european)</w:t>
      </w:r>
    </w:p>
    <w:p w14:paraId="17D4A666" w14:textId="50AF11BB" w:rsidR="000A1D0B" w:rsidRPr="00837D43" w:rsidRDefault="0093750F" w:rsidP="00346310">
      <w:pPr>
        <w:pStyle w:val="ListParagraph"/>
        <w:rPr>
          <w:lang w:eastAsia="en-GB"/>
        </w:rPr>
      </w:pPr>
      <w:r w:rsidRPr="00837D43">
        <w:rPr>
          <w:lang w:eastAsia="en-GB"/>
        </w:rPr>
        <w:t xml:space="preserve"> </w:t>
      </w:r>
    </w:p>
    <w:sectPr w:rsidR="000A1D0B" w:rsidRPr="00837D43" w:rsidSect="00E7723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92219" w14:textId="77777777" w:rsidR="00BA0585" w:rsidRDefault="00BA0585" w:rsidP="00357B94">
      <w:r>
        <w:separator/>
      </w:r>
    </w:p>
  </w:endnote>
  <w:endnote w:type="continuationSeparator" w:id="0">
    <w:p w14:paraId="0166A761" w14:textId="77777777" w:rsidR="00BA0585" w:rsidRDefault="00BA0585" w:rsidP="0035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9551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B776D" w14:textId="310E6710" w:rsidR="00357B94" w:rsidRDefault="00357B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D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E140D9" w14:textId="77777777" w:rsidR="00357B94" w:rsidRDefault="00357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51421" w14:textId="77777777" w:rsidR="00BA0585" w:rsidRDefault="00BA0585" w:rsidP="00357B94">
      <w:r>
        <w:separator/>
      </w:r>
    </w:p>
  </w:footnote>
  <w:footnote w:type="continuationSeparator" w:id="0">
    <w:p w14:paraId="5044F1B9" w14:textId="77777777" w:rsidR="00BA0585" w:rsidRDefault="00BA0585" w:rsidP="00357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184A"/>
    <w:multiLevelType w:val="hybridMultilevel"/>
    <w:tmpl w:val="03C87E16"/>
    <w:lvl w:ilvl="0" w:tplc="08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4E566BF"/>
    <w:multiLevelType w:val="hybridMultilevel"/>
    <w:tmpl w:val="E77053E8"/>
    <w:lvl w:ilvl="0" w:tplc="98429302">
      <w:start w:val="1"/>
      <w:numFmt w:val="decimal"/>
      <w:lvlText w:val="%1)"/>
      <w:lvlJc w:val="left"/>
      <w:pPr>
        <w:ind w:left="747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529F9"/>
    <w:multiLevelType w:val="hybridMultilevel"/>
    <w:tmpl w:val="C4E055EE"/>
    <w:lvl w:ilvl="0" w:tplc="F23C8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6CC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E162E">
      <w:start w:val="5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2C4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C9C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09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49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AE6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A2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9B21AD8"/>
    <w:multiLevelType w:val="hybridMultilevel"/>
    <w:tmpl w:val="FAF083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14ABAC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44430"/>
    <w:multiLevelType w:val="hybridMultilevel"/>
    <w:tmpl w:val="875656AE"/>
    <w:lvl w:ilvl="0" w:tplc="79CC2242">
      <w:numFmt w:val="bullet"/>
      <w:lvlText w:val="·"/>
      <w:lvlJc w:val="left"/>
      <w:pPr>
        <w:ind w:left="135" w:hanging="495"/>
      </w:pPr>
      <w:rPr>
        <w:rFonts w:ascii="Calibri" w:eastAsiaTheme="minorHAnsi" w:hAnsi="Calibri" w:cs="Calibri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2152D89"/>
    <w:multiLevelType w:val="hybridMultilevel"/>
    <w:tmpl w:val="35FEC71A"/>
    <w:lvl w:ilvl="0" w:tplc="462A3D06">
      <w:numFmt w:val="bullet"/>
      <w:lvlText w:val="·"/>
      <w:lvlJc w:val="left"/>
      <w:pPr>
        <w:ind w:left="-285" w:hanging="435"/>
      </w:pPr>
      <w:rPr>
        <w:rFonts w:ascii="Calibri" w:eastAsiaTheme="minorHAnsi" w:hAnsi="Calibri" w:cs="Calibri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F84E8B"/>
    <w:multiLevelType w:val="hybridMultilevel"/>
    <w:tmpl w:val="E5906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60876"/>
    <w:multiLevelType w:val="hybridMultilevel"/>
    <w:tmpl w:val="AB0426C8"/>
    <w:lvl w:ilvl="0" w:tplc="79CC2242">
      <w:numFmt w:val="bullet"/>
      <w:lvlText w:val="·"/>
      <w:lvlJc w:val="left"/>
      <w:pPr>
        <w:ind w:left="135" w:hanging="495"/>
      </w:pPr>
      <w:rPr>
        <w:rFonts w:ascii="Calibri" w:eastAsiaTheme="minorHAnsi" w:hAnsi="Calibri" w:cs="Calibri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0358B"/>
    <w:multiLevelType w:val="hybridMultilevel"/>
    <w:tmpl w:val="11F07E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D60280"/>
    <w:multiLevelType w:val="multilevel"/>
    <w:tmpl w:val="08D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0E4EB2"/>
    <w:multiLevelType w:val="hybridMultilevel"/>
    <w:tmpl w:val="9A041E8E"/>
    <w:lvl w:ilvl="0" w:tplc="462A3D06">
      <w:numFmt w:val="bullet"/>
      <w:lvlText w:val="·"/>
      <w:lvlJc w:val="left"/>
      <w:pPr>
        <w:ind w:left="75" w:hanging="435"/>
      </w:pPr>
      <w:rPr>
        <w:rFonts w:ascii="Calibri" w:eastAsiaTheme="minorHAnsi" w:hAnsi="Calibri" w:cs="Calibri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39A53CA7"/>
    <w:multiLevelType w:val="hybridMultilevel"/>
    <w:tmpl w:val="E0FE06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2570B"/>
    <w:multiLevelType w:val="hybridMultilevel"/>
    <w:tmpl w:val="AEF46B32"/>
    <w:lvl w:ilvl="0" w:tplc="17CA2A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B20B8"/>
    <w:multiLevelType w:val="hybridMultilevel"/>
    <w:tmpl w:val="281657C8"/>
    <w:lvl w:ilvl="0" w:tplc="E556C1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56307"/>
    <w:multiLevelType w:val="hybridMultilevel"/>
    <w:tmpl w:val="78BAF350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D771794"/>
    <w:multiLevelType w:val="hybridMultilevel"/>
    <w:tmpl w:val="D9CACAE0"/>
    <w:lvl w:ilvl="0" w:tplc="72F6CB90">
      <w:numFmt w:val="bullet"/>
      <w:lvlText w:val="-"/>
      <w:lvlJc w:val="left"/>
      <w:pPr>
        <w:ind w:left="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E1418CE"/>
    <w:multiLevelType w:val="hybridMultilevel"/>
    <w:tmpl w:val="1F369D5E"/>
    <w:lvl w:ilvl="0" w:tplc="98429302">
      <w:start w:val="1"/>
      <w:numFmt w:val="decimal"/>
      <w:lvlText w:val="%1)"/>
      <w:lvlJc w:val="left"/>
      <w:pPr>
        <w:ind w:left="747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5C36161"/>
    <w:multiLevelType w:val="multilevel"/>
    <w:tmpl w:val="0422E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D27738"/>
    <w:multiLevelType w:val="hybridMultilevel"/>
    <w:tmpl w:val="C7B64F12"/>
    <w:lvl w:ilvl="0" w:tplc="462A3D06">
      <w:numFmt w:val="bullet"/>
      <w:lvlText w:val="·"/>
      <w:lvlJc w:val="left"/>
      <w:pPr>
        <w:ind w:left="75" w:hanging="435"/>
      </w:pPr>
      <w:rPr>
        <w:rFonts w:ascii="Calibri" w:eastAsiaTheme="minorHAnsi" w:hAnsi="Calibri" w:cs="Calibri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63E81"/>
    <w:multiLevelType w:val="hybridMultilevel"/>
    <w:tmpl w:val="462A4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C79D4"/>
    <w:multiLevelType w:val="hybridMultilevel"/>
    <w:tmpl w:val="0B5AF276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C820FF"/>
    <w:multiLevelType w:val="hybridMultilevel"/>
    <w:tmpl w:val="1B62E79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3712A5"/>
    <w:multiLevelType w:val="hybridMultilevel"/>
    <w:tmpl w:val="B3F67B30"/>
    <w:lvl w:ilvl="0" w:tplc="348C2CA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F3ED2"/>
    <w:multiLevelType w:val="hybridMultilevel"/>
    <w:tmpl w:val="3C7A7B16"/>
    <w:lvl w:ilvl="0" w:tplc="BAC8FFB4">
      <w:numFmt w:val="bullet"/>
      <w:lvlText w:val="-"/>
      <w:lvlJc w:val="left"/>
      <w:pPr>
        <w:ind w:left="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68F67518"/>
    <w:multiLevelType w:val="hybridMultilevel"/>
    <w:tmpl w:val="4942CC34"/>
    <w:lvl w:ilvl="0" w:tplc="B15228A2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03858"/>
    <w:multiLevelType w:val="hybridMultilevel"/>
    <w:tmpl w:val="9CB2F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D7AF8"/>
    <w:multiLevelType w:val="hybridMultilevel"/>
    <w:tmpl w:val="2772B21A"/>
    <w:lvl w:ilvl="0" w:tplc="40406710"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6E515F5C"/>
    <w:multiLevelType w:val="hybridMultilevel"/>
    <w:tmpl w:val="1B4C88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820AF9"/>
    <w:multiLevelType w:val="hybridMultilevel"/>
    <w:tmpl w:val="516C0E9A"/>
    <w:lvl w:ilvl="0" w:tplc="08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D6686C"/>
    <w:multiLevelType w:val="hybridMultilevel"/>
    <w:tmpl w:val="AC62B5A4"/>
    <w:lvl w:ilvl="0" w:tplc="462A3D06">
      <w:numFmt w:val="bullet"/>
      <w:lvlText w:val="·"/>
      <w:lvlJc w:val="left"/>
      <w:pPr>
        <w:ind w:left="75" w:hanging="435"/>
      </w:pPr>
      <w:rPr>
        <w:rFonts w:ascii="Calibri" w:eastAsiaTheme="minorHAnsi" w:hAnsi="Calibri" w:cs="Calibri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E2C96"/>
    <w:multiLevelType w:val="hybridMultilevel"/>
    <w:tmpl w:val="054EBC96"/>
    <w:lvl w:ilvl="0" w:tplc="557AB408">
      <w:numFmt w:val="bullet"/>
      <w:lvlText w:val="•"/>
      <w:lvlJc w:val="left"/>
      <w:pPr>
        <w:ind w:left="1110" w:hanging="75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28"/>
  </w:num>
  <w:num w:numId="6">
    <w:abstractNumId w:val="21"/>
  </w:num>
  <w:num w:numId="7">
    <w:abstractNumId w:val="15"/>
  </w:num>
  <w:num w:numId="8">
    <w:abstractNumId w:val="23"/>
  </w:num>
  <w:num w:numId="9">
    <w:abstractNumId w:val="20"/>
  </w:num>
  <w:num w:numId="10">
    <w:abstractNumId w:val="10"/>
  </w:num>
  <w:num w:numId="11">
    <w:abstractNumId w:val="29"/>
  </w:num>
  <w:num w:numId="12">
    <w:abstractNumId w:val="18"/>
  </w:num>
  <w:num w:numId="13">
    <w:abstractNumId w:val="5"/>
  </w:num>
  <w:num w:numId="14">
    <w:abstractNumId w:val="4"/>
  </w:num>
  <w:num w:numId="15">
    <w:abstractNumId w:val="7"/>
  </w:num>
  <w:num w:numId="16">
    <w:abstractNumId w:val="22"/>
  </w:num>
  <w:num w:numId="17">
    <w:abstractNumId w:val="25"/>
  </w:num>
  <w:num w:numId="18">
    <w:abstractNumId w:val="2"/>
  </w:num>
  <w:num w:numId="19">
    <w:abstractNumId w:val="0"/>
  </w:num>
  <w:num w:numId="20">
    <w:abstractNumId w:val="17"/>
  </w:num>
  <w:num w:numId="21">
    <w:abstractNumId w:val="9"/>
  </w:num>
  <w:num w:numId="22">
    <w:abstractNumId w:val="13"/>
  </w:num>
  <w:num w:numId="23">
    <w:abstractNumId w:val="26"/>
  </w:num>
  <w:num w:numId="24">
    <w:abstractNumId w:val="11"/>
  </w:num>
  <w:num w:numId="25">
    <w:abstractNumId w:val="24"/>
  </w:num>
  <w:num w:numId="26">
    <w:abstractNumId w:val="12"/>
  </w:num>
  <w:num w:numId="27">
    <w:abstractNumId w:val="16"/>
  </w:num>
  <w:num w:numId="28">
    <w:abstractNumId w:val="1"/>
  </w:num>
  <w:num w:numId="29">
    <w:abstractNumId w:val="8"/>
  </w:num>
  <w:num w:numId="30">
    <w:abstractNumId w:val="6"/>
  </w:num>
  <w:num w:numId="31">
    <w:abstractNumId w:val="14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I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B84FCC"/>
    <w:rsid w:val="000061C1"/>
    <w:rsid w:val="00014052"/>
    <w:rsid w:val="00023114"/>
    <w:rsid w:val="000240E8"/>
    <w:rsid w:val="00024DD5"/>
    <w:rsid w:val="00041447"/>
    <w:rsid w:val="00043ED0"/>
    <w:rsid w:val="0005188E"/>
    <w:rsid w:val="00056936"/>
    <w:rsid w:val="000625C2"/>
    <w:rsid w:val="000627FB"/>
    <w:rsid w:val="00062A90"/>
    <w:rsid w:val="000637FA"/>
    <w:rsid w:val="00070593"/>
    <w:rsid w:val="000812D0"/>
    <w:rsid w:val="0008350C"/>
    <w:rsid w:val="00090C09"/>
    <w:rsid w:val="00090C41"/>
    <w:rsid w:val="000A1D0B"/>
    <w:rsid w:val="000A4F73"/>
    <w:rsid w:val="000A6BD4"/>
    <w:rsid w:val="000A6E03"/>
    <w:rsid w:val="000B1630"/>
    <w:rsid w:val="000B3ED4"/>
    <w:rsid w:val="000B45FB"/>
    <w:rsid w:val="000B71BC"/>
    <w:rsid w:val="000C7E09"/>
    <w:rsid w:val="000D3630"/>
    <w:rsid w:val="000D6218"/>
    <w:rsid w:val="000F5EFD"/>
    <w:rsid w:val="000F7CAA"/>
    <w:rsid w:val="00106DE4"/>
    <w:rsid w:val="001079E7"/>
    <w:rsid w:val="0011047A"/>
    <w:rsid w:val="00135AD4"/>
    <w:rsid w:val="00137895"/>
    <w:rsid w:val="00142036"/>
    <w:rsid w:val="0015344E"/>
    <w:rsid w:val="00153FDF"/>
    <w:rsid w:val="0015550D"/>
    <w:rsid w:val="0015636F"/>
    <w:rsid w:val="00161104"/>
    <w:rsid w:val="00161C9A"/>
    <w:rsid w:val="0016351E"/>
    <w:rsid w:val="00164E7E"/>
    <w:rsid w:val="00166588"/>
    <w:rsid w:val="001674F7"/>
    <w:rsid w:val="0017041C"/>
    <w:rsid w:val="001732CD"/>
    <w:rsid w:val="001740E3"/>
    <w:rsid w:val="001809B3"/>
    <w:rsid w:val="00185314"/>
    <w:rsid w:val="00191622"/>
    <w:rsid w:val="001A5A26"/>
    <w:rsid w:val="001B0CDA"/>
    <w:rsid w:val="001B20B8"/>
    <w:rsid w:val="001B340D"/>
    <w:rsid w:val="001C319D"/>
    <w:rsid w:val="001D351A"/>
    <w:rsid w:val="001D4E0C"/>
    <w:rsid w:val="001E2400"/>
    <w:rsid w:val="001E4297"/>
    <w:rsid w:val="001E4373"/>
    <w:rsid w:val="001E66D6"/>
    <w:rsid w:val="001F13A1"/>
    <w:rsid w:val="001F41BB"/>
    <w:rsid w:val="001F7C6D"/>
    <w:rsid w:val="002300F4"/>
    <w:rsid w:val="0023303E"/>
    <w:rsid w:val="00233A25"/>
    <w:rsid w:val="00235AC2"/>
    <w:rsid w:val="0024636F"/>
    <w:rsid w:val="002645CE"/>
    <w:rsid w:val="00270DCF"/>
    <w:rsid w:val="002739D4"/>
    <w:rsid w:val="0029390A"/>
    <w:rsid w:val="00293BD8"/>
    <w:rsid w:val="002943FA"/>
    <w:rsid w:val="00296567"/>
    <w:rsid w:val="002B09E5"/>
    <w:rsid w:val="002B38E5"/>
    <w:rsid w:val="002C231C"/>
    <w:rsid w:val="002C4E00"/>
    <w:rsid w:val="002C604C"/>
    <w:rsid w:val="002C663F"/>
    <w:rsid w:val="002C78C6"/>
    <w:rsid w:val="002D0929"/>
    <w:rsid w:val="002D538B"/>
    <w:rsid w:val="002E01CE"/>
    <w:rsid w:val="002E25CF"/>
    <w:rsid w:val="002E35D0"/>
    <w:rsid w:val="002E3EFC"/>
    <w:rsid w:val="002F1913"/>
    <w:rsid w:val="002F5A17"/>
    <w:rsid w:val="002F6436"/>
    <w:rsid w:val="00303021"/>
    <w:rsid w:val="003077EC"/>
    <w:rsid w:val="00315B6A"/>
    <w:rsid w:val="00324D10"/>
    <w:rsid w:val="00334E6D"/>
    <w:rsid w:val="00341195"/>
    <w:rsid w:val="00342369"/>
    <w:rsid w:val="00345B5E"/>
    <w:rsid w:val="00346310"/>
    <w:rsid w:val="00352E1C"/>
    <w:rsid w:val="00353DBE"/>
    <w:rsid w:val="003563F8"/>
    <w:rsid w:val="00356DEF"/>
    <w:rsid w:val="00357B94"/>
    <w:rsid w:val="003629D6"/>
    <w:rsid w:val="00365FA9"/>
    <w:rsid w:val="00366F19"/>
    <w:rsid w:val="0038062D"/>
    <w:rsid w:val="00381C82"/>
    <w:rsid w:val="00387691"/>
    <w:rsid w:val="00391B1D"/>
    <w:rsid w:val="00394BE5"/>
    <w:rsid w:val="003962FB"/>
    <w:rsid w:val="00396D4D"/>
    <w:rsid w:val="003A3BF3"/>
    <w:rsid w:val="003A54AD"/>
    <w:rsid w:val="003B2709"/>
    <w:rsid w:val="003B5EBC"/>
    <w:rsid w:val="003D2799"/>
    <w:rsid w:val="003D43C1"/>
    <w:rsid w:val="003D4BAD"/>
    <w:rsid w:val="003D63B6"/>
    <w:rsid w:val="003F47D0"/>
    <w:rsid w:val="003F7DF0"/>
    <w:rsid w:val="00402976"/>
    <w:rsid w:val="00424680"/>
    <w:rsid w:val="00424E57"/>
    <w:rsid w:val="00431DB0"/>
    <w:rsid w:val="0043681D"/>
    <w:rsid w:val="00437374"/>
    <w:rsid w:val="004459F5"/>
    <w:rsid w:val="00450438"/>
    <w:rsid w:val="004526A1"/>
    <w:rsid w:val="004605DB"/>
    <w:rsid w:val="004624FF"/>
    <w:rsid w:val="00462B53"/>
    <w:rsid w:val="00464D3A"/>
    <w:rsid w:val="00466750"/>
    <w:rsid w:val="00475F91"/>
    <w:rsid w:val="004776F3"/>
    <w:rsid w:val="0048262E"/>
    <w:rsid w:val="0048679D"/>
    <w:rsid w:val="004926FB"/>
    <w:rsid w:val="004B2BE5"/>
    <w:rsid w:val="004C001B"/>
    <w:rsid w:val="004C0EF5"/>
    <w:rsid w:val="004C17FB"/>
    <w:rsid w:val="004C4250"/>
    <w:rsid w:val="004C4684"/>
    <w:rsid w:val="004C6340"/>
    <w:rsid w:val="004D17A4"/>
    <w:rsid w:val="004D3BAD"/>
    <w:rsid w:val="004D5FB3"/>
    <w:rsid w:val="004E20FC"/>
    <w:rsid w:val="004E64B2"/>
    <w:rsid w:val="004F2417"/>
    <w:rsid w:val="004F268C"/>
    <w:rsid w:val="004F4811"/>
    <w:rsid w:val="004F66BE"/>
    <w:rsid w:val="005014A9"/>
    <w:rsid w:val="0050499A"/>
    <w:rsid w:val="00512001"/>
    <w:rsid w:val="00517221"/>
    <w:rsid w:val="005219E8"/>
    <w:rsid w:val="005223E1"/>
    <w:rsid w:val="00522C1F"/>
    <w:rsid w:val="00530DB0"/>
    <w:rsid w:val="00532566"/>
    <w:rsid w:val="00532900"/>
    <w:rsid w:val="00533FCD"/>
    <w:rsid w:val="00536713"/>
    <w:rsid w:val="0054283F"/>
    <w:rsid w:val="00542D8D"/>
    <w:rsid w:val="00551C95"/>
    <w:rsid w:val="00554177"/>
    <w:rsid w:val="005578F8"/>
    <w:rsid w:val="00572506"/>
    <w:rsid w:val="0057797B"/>
    <w:rsid w:val="00586A9E"/>
    <w:rsid w:val="005966F6"/>
    <w:rsid w:val="005A0B0B"/>
    <w:rsid w:val="005A54F0"/>
    <w:rsid w:val="005B63E7"/>
    <w:rsid w:val="005C02F0"/>
    <w:rsid w:val="005C5459"/>
    <w:rsid w:val="005C64F4"/>
    <w:rsid w:val="005C7535"/>
    <w:rsid w:val="005D084B"/>
    <w:rsid w:val="005D3597"/>
    <w:rsid w:val="005E6E3B"/>
    <w:rsid w:val="005E6EF5"/>
    <w:rsid w:val="005F6422"/>
    <w:rsid w:val="00600DC8"/>
    <w:rsid w:val="006137D8"/>
    <w:rsid w:val="0061645F"/>
    <w:rsid w:val="00622531"/>
    <w:rsid w:val="00624513"/>
    <w:rsid w:val="00626A4D"/>
    <w:rsid w:val="00640B25"/>
    <w:rsid w:val="00644413"/>
    <w:rsid w:val="00644844"/>
    <w:rsid w:val="00647839"/>
    <w:rsid w:val="0066733B"/>
    <w:rsid w:val="00667EDB"/>
    <w:rsid w:val="00682319"/>
    <w:rsid w:val="00685972"/>
    <w:rsid w:val="00690899"/>
    <w:rsid w:val="00697F1A"/>
    <w:rsid w:val="006A0AD1"/>
    <w:rsid w:val="006A33FA"/>
    <w:rsid w:val="006A495E"/>
    <w:rsid w:val="006B5B6A"/>
    <w:rsid w:val="006C64D0"/>
    <w:rsid w:val="006C7EA4"/>
    <w:rsid w:val="006D3220"/>
    <w:rsid w:val="006D5B08"/>
    <w:rsid w:val="006D7EBF"/>
    <w:rsid w:val="006E4BBA"/>
    <w:rsid w:val="006E555E"/>
    <w:rsid w:val="006E7826"/>
    <w:rsid w:val="006F10D8"/>
    <w:rsid w:val="006F259B"/>
    <w:rsid w:val="006F278D"/>
    <w:rsid w:val="006F2D54"/>
    <w:rsid w:val="006F5207"/>
    <w:rsid w:val="00712BC5"/>
    <w:rsid w:val="00714986"/>
    <w:rsid w:val="0073702D"/>
    <w:rsid w:val="00742EE5"/>
    <w:rsid w:val="00743C01"/>
    <w:rsid w:val="00747E44"/>
    <w:rsid w:val="007500D5"/>
    <w:rsid w:val="007514A0"/>
    <w:rsid w:val="007651C7"/>
    <w:rsid w:val="00767B03"/>
    <w:rsid w:val="00775AF2"/>
    <w:rsid w:val="00775F40"/>
    <w:rsid w:val="00776184"/>
    <w:rsid w:val="00777D34"/>
    <w:rsid w:val="007B1827"/>
    <w:rsid w:val="007B1AC8"/>
    <w:rsid w:val="007C5982"/>
    <w:rsid w:val="007C6E9D"/>
    <w:rsid w:val="007C708B"/>
    <w:rsid w:val="007E24B0"/>
    <w:rsid w:val="007E4DE1"/>
    <w:rsid w:val="007E55D0"/>
    <w:rsid w:val="00805E2D"/>
    <w:rsid w:val="00807437"/>
    <w:rsid w:val="00814FA0"/>
    <w:rsid w:val="00817775"/>
    <w:rsid w:val="0082004A"/>
    <w:rsid w:val="00824609"/>
    <w:rsid w:val="00837D43"/>
    <w:rsid w:val="00840770"/>
    <w:rsid w:val="0084563F"/>
    <w:rsid w:val="0085320D"/>
    <w:rsid w:val="008536EA"/>
    <w:rsid w:val="00853F74"/>
    <w:rsid w:val="00855065"/>
    <w:rsid w:val="00860FB9"/>
    <w:rsid w:val="008614CD"/>
    <w:rsid w:val="00864E3B"/>
    <w:rsid w:val="008733A4"/>
    <w:rsid w:val="00875052"/>
    <w:rsid w:val="0087766F"/>
    <w:rsid w:val="00885949"/>
    <w:rsid w:val="008A27C4"/>
    <w:rsid w:val="008A686F"/>
    <w:rsid w:val="008C2635"/>
    <w:rsid w:val="008C2EBE"/>
    <w:rsid w:val="008D009E"/>
    <w:rsid w:val="008D08F7"/>
    <w:rsid w:val="008D4003"/>
    <w:rsid w:val="008D41C0"/>
    <w:rsid w:val="008E40E6"/>
    <w:rsid w:val="008E7ABC"/>
    <w:rsid w:val="008E7F8E"/>
    <w:rsid w:val="008F0EEB"/>
    <w:rsid w:val="008F56F4"/>
    <w:rsid w:val="008F6AC6"/>
    <w:rsid w:val="008F78D5"/>
    <w:rsid w:val="0091574D"/>
    <w:rsid w:val="0092195A"/>
    <w:rsid w:val="00922683"/>
    <w:rsid w:val="00923377"/>
    <w:rsid w:val="00925A3B"/>
    <w:rsid w:val="00925DC5"/>
    <w:rsid w:val="009368FC"/>
    <w:rsid w:val="0093750F"/>
    <w:rsid w:val="00945F95"/>
    <w:rsid w:val="009521C3"/>
    <w:rsid w:val="00954254"/>
    <w:rsid w:val="00960FBF"/>
    <w:rsid w:val="00962A35"/>
    <w:rsid w:val="00963FCC"/>
    <w:rsid w:val="00967507"/>
    <w:rsid w:val="00967DEC"/>
    <w:rsid w:val="00970C11"/>
    <w:rsid w:val="00976567"/>
    <w:rsid w:val="009817DE"/>
    <w:rsid w:val="00982236"/>
    <w:rsid w:val="00991382"/>
    <w:rsid w:val="0099707F"/>
    <w:rsid w:val="009970BA"/>
    <w:rsid w:val="009A1B2E"/>
    <w:rsid w:val="009A2BFD"/>
    <w:rsid w:val="009A3F05"/>
    <w:rsid w:val="009C1F57"/>
    <w:rsid w:val="009C3B17"/>
    <w:rsid w:val="009D32EC"/>
    <w:rsid w:val="009D4DB4"/>
    <w:rsid w:val="009D521F"/>
    <w:rsid w:val="009E060C"/>
    <w:rsid w:val="009E643D"/>
    <w:rsid w:val="00A00809"/>
    <w:rsid w:val="00A01BB8"/>
    <w:rsid w:val="00A01C85"/>
    <w:rsid w:val="00A05311"/>
    <w:rsid w:val="00A13183"/>
    <w:rsid w:val="00A145EE"/>
    <w:rsid w:val="00A2070D"/>
    <w:rsid w:val="00A268C1"/>
    <w:rsid w:val="00A40DB9"/>
    <w:rsid w:val="00A42120"/>
    <w:rsid w:val="00A50103"/>
    <w:rsid w:val="00A51C44"/>
    <w:rsid w:val="00A559C7"/>
    <w:rsid w:val="00A64F23"/>
    <w:rsid w:val="00A65086"/>
    <w:rsid w:val="00A7091E"/>
    <w:rsid w:val="00A750F5"/>
    <w:rsid w:val="00A94897"/>
    <w:rsid w:val="00AA23C0"/>
    <w:rsid w:val="00AA3897"/>
    <w:rsid w:val="00AA49BF"/>
    <w:rsid w:val="00AA77E5"/>
    <w:rsid w:val="00AA7AE9"/>
    <w:rsid w:val="00AB3DFD"/>
    <w:rsid w:val="00AB4C6A"/>
    <w:rsid w:val="00AC10B2"/>
    <w:rsid w:val="00AC7595"/>
    <w:rsid w:val="00AD1DE0"/>
    <w:rsid w:val="00AD368A"/>
    <w:rsid w:val="00AF0634"/>
    <w:rsid w:val="00B11537"/>
    <w:rsid w:val="00B23DAC"/>
    <w:rsid w:val="00B37203"/>
    <w:rsid w:val="00B374B1"/>
    <w:rsid w:val="00B40553"/>
    <w:rsid w:val="00B4423B"/>
    <w:rsid w:val="00B46A04"/>
    <w:rsid w:val="00B507A6"/>
    <w:rsid w:val="00B50B6E"/>
    <w:rsid w:val="00B61E1B"/>
    <w:rsid w:val="00B84FCC"/>
    <w:rsid w:val="00B85498"/>
    <w:rsid w:val="00B85762"/>
    <w:rsid w:val="00B86ED5"/>
    <w:rsid w:val="00B97DEA"/>
    <w:rsid w:val="00BA0585"/>
    <w:rsid w:val="00BA5200"/>
    <w:rsid w:val="00BA6D7A"/>
    <w:rsid w:val="00BB355A"/>
    <w:rsid w:val="00BB39E6"/>
    <w:rsid w:val="00BB5367"/>
    <w:rsid w:val="00BC0FF0"/>
    <w:rsid w:val="00BC1187"/>
    <w:rsid w:val="00BD085D"/>
    <w:rsid w:val="00BD200F"/>
    <w:rsid w:val="00BD4FE5"/>
    <w:rsid w:val="00BE11B9"/>
    <w:rsid w:val="00BE6829"/>
    <w:rsid w:val="00BF0F4F"/>
    <w:rsid w:val="00BF319C"/>
    <w:rsid w:val="00C0097B"/>
    <w:rsid w:val="00C01CB2"/>
    <w:rsid w:val="00C024DA"/>
    <w:rsid w:val="00C04CDE"/>
    <w:rsid w:val="00C063C0"/>
    <w:rsid w:val="00C2103D"/>
    <w:rsid w:val="00C274BA"/>
    <w:rsid w:val="00C30BD8"/>
    <w:rsid w:val="00C3386D"/>
    <w:rsid w:val="00C33B0C"/>
    <w:rsid w:val="00C34C63"/>
    <w:rsid w:val="00C464D1"/>
    <w:rsid w:val="00C56752"/>
    <w:rsid w:val="00C56FD2"/>
    <w:rsid w:val="00C61637"/>
    <w:rsid w:val="00C62E4E"/>
    <w:rsid w:val="00C67DA9"/>
    <w:rsid w:val="00C70167"/>
    <w:rsid w:val="00C71FD6"/>
    <w:rsid w:val="00C733BB"/>
    <w:rsid w:val="00C7565E"/>
    <w:rsid w:val="00C760C7"/>
    <w:rsid w:val="00C76EE9"/>
    <w:rsid w:val="00C80CDA"/>
    <w:rsid w:val="00C82B68"/>
    <w:rsid w:val="00C84CD5"/>
    <w:rsid w:val="00C90B90"/>
    <w:rsid w:val="00C92C09"/>
    <w:rsid w:val="00C95139"/>
    <w:rsid w:val="00CA0111"/>
    <w:rsid w:val="00CA5FD5"/>
    <w:rsid w:val="00CB0EAF"/>
    <w:rsid w:val="00CB1F39"/>
    <w:rsid w:val="00CB7D32"/>
    <w:rsid w:val="00CC083F"/>
    <w:rsid w:val="00CC2365"/>
    <w:rsid w:val="00CC5F71"/>
    <w:rsid w:val="00CD4347"/>
    <w:rsid w:val="00CD56BC"/>
    <w:rsid w:val="00CE3D5D"/>
    <w:rsid w:val="00CE4429"/>
    <w:rsid w:val="00CF29A4"/>
    <w:rsid w:val="00CF564E"/>
    <w:rsid w:val="00CF77C2"/>
    <w:rsid w:val="00D07600"/>
    <w:rsid w:val="00D15B3D"/>
    <w:rsid w:val="00D25037"/>
    <w:rsid w:val="00D25E4D"/>
    <w:rsid w:val="00D2694C"/>
    <w:rsid w:val="00D30D44"/>
    <w:rsid w:val="00D334BA"/>
    <w:rsid w:val="00D34591"/>
    <w:rsid w:val="00D37523"/>
    <w:rsid w:val="00D4196B"/>
    <w:rsid w:val="00D45853"/>
    <w:rsid w:val="00D5184E"/>
    <w:rsid w:val="00D52999"/>
    <w:rsid w:val="00D5508A"/>
    <w:rsid w:val="00D55FBA"/>
    <w:rsid w:val="00D564E9"/>
    <w:rsid w:val="00D56948"/>
    <w:rsid w:val="00D57132"/>
    <w:rsid w:val="00D60A21"/>
    <w:rsid w:val="00D62C7E"/>
    <w:rsid w:val="00D63954"/>
    <w:rsid w:val="00D66B73"/>
    <w:rsid w:val="00D67C7A"/>
    <w:rsid w:val="00D70E9F"/>
    <w:rsid w:val="00D73366"/>
    <w:rsid w:val="00D74A00"/>
    <w:rsid w:val="00D761B4"/>
    <w:rsid w:val="00D83231"/>
    <w:rsid w:val="00D85406"/>
    <w:rsid w:val="00D86AA0"/>
    <w:rsid w:val="00D9534F"/>
    <w:rsid w:val="00DA7229"/>
    <w:rsid w:val="00DA7FE6"/>
    <w:rsid w:val="00DB26FF"/>
    <w:rsid w:val="00DB44A6"/>
    <w:rsid w:val="00DB65E8"/>
    <w:rsid w:val="00DB71EE"/>
    <w:rsid w:val="00DC0D8B"/>
    <w:rsid w:val="00DC2CD1"/>
    <w:rsid w:val="00DC40F6"/>
    <w:rsid w:val="00DD3237"/>
    <w:rsid w:val="00DD3322"/>
    <w:rsid w:val="00DE2086"/>
    <w:rsid w:val="00DF0BA3"/>
    <w:rsid w:val="00E00A50"/>
    <w:rsid w:val="00E037C2"/>
    <w:rsid w:val="00E07C29"/>
    <w:rsid w:val="00E11B9B"/>
    <w:rsid w:val="00E13F22"/>
    <w:rsid w:val="00E14670"/>
    <w:rsid w:val="00E32675"/>
    <w:rsid w:val="00E41E83"/>
    <w:rsid w:val="00E45D6A"/>
    <w:rsid w:val="00E46AC1"/>
    <w:rsid w:val="00E51BD5"/>
    <w:rsid w:val="00E52230"/>
    <w:rsid w:val="00E54CA9"/>
    <w:rsid w:val="00E60B5D"/>
    <w:rsid w:val="00E65387"/>
    <w:rsid w:val="00E7102B"/>
    <w:rsid w:val="00E7258A"/>
    <w:rsid w:val="00E7403D"/>
    <w:rsid w:val="00E77238"/>
    <w:rsid w:val="00E8278B"/>
    <w:rsid w:val="00E84921"/>
    <w:rsid w:val="00E84B91"/>
    <w:rsid w:val="00E92BBC"/>
    <w:rsid w:val="00E95299"/>
    <w:rsid w:val="00E960CC"/>
    <w:rsid w:val="00EA0A4F"/>
    <w:rsid w:val="00EA6020"/>
    <w:rsid w:val="00EB58C2"/>
    <w:rsid w:val="00EB688C"/>
    <w:rsid w:val="00EC6F19"/>
    <w:rsid w:val="00ED46CC"/>
    <w:rsid w:val="00EE48FA"/>
    <w:rsid w:val="00EE5395"/>
    <w:rsid w:val="00EE5915"/>
    <w:rsid w:val="00EF097E"/>
    <w:rsid w:val="00EF5D3E"/>
    <w:rsid w:val="00EF7542"/>
    <w:rsid w:val="00F04FCE"/>
    <w:rsid w:val="00F06BDE"/>
    <w:rsid w:val="00F14813"/>
    <w:rsid w:val="00F15369"/>
    <w:rsid w:val="00F16A00"/>
    <w:rsid w:val="00F172A8"/>
    <w:rsid w:val="00F2145D"/>
    <w:rsid w:val="00F27199"/>
    <w:rsid w:val="00F3065A"/>
    <w:rsid w:val="00F37F30"/>
    <w:rsid w:val="00F45F71"/>
    <w:rsid w:val="00F47086"/>
    <w:rsid w:val="00F47BED"/>
    <w:rsid w:val="00F60A91"/>
    <w:rsid w:val="00F62E39"/>
    <w:rsid w:val="00F6487C"/>
    <w:rsid w:val="00F6545E"/>
    <w:rsid w:val="00F74765"/>
    <w:rsid w:val="00F770E5"/>
    <w:rsid w:val="00F772AB"/>
    <w:rsid w:val="00F81586"/>
    <w:rsid w:val="00F975F2"/>
    <w:rsid w:val="00FB5B42"/>
    <w:rsid w:val="00FB61D4"/>
    <w:rsid w:val="00FB7D96"/>
    <w:rsid w:val="00FC2075"/>
    <w:rsid w:val="00FD4021"/>
    <w:rsid w:val="00FD4E0E"/>
    <w:rsid w:val="00FD5597"/>
    <w:rsid w:val="00FD6575"/>
    <w:rsid w:val="00FE1EC3"/>
    <w:rsid w:val="00FE2517"/>
    <w:rsid w:val="00FE5914"/>
    <w:rsid w:val="05F30BA6"/>
    <w:rsid w:val="06BA35BE"/>
    <w:rsid w:val="19017003"/>
    <w:rsid w:val="2D87B486"/>
    <w:rsid w:val="47036ABF"/>
    <w:rsid w:val="56035E25"/>
    <w:rsid w:val="76498F27"/>
    <w:rsid w:val="7C8BF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BC360"/>
  <w15:chartTrackingRefBased/>
  <w15:docId w15:val="{25076F80-E4AC-4075-8B5C-6CDE7EA8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CC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lista Nivell1,Lista de nivel 1,Lettre d'introduction,Table of contents numbered,Paragraphe de liste PBLH,BULLET 1,List Bulletized,List Paragraph Char Char,1st level - Bullet List Paragraph,Normal bullet 2,Bullet list,Listenabsatz1,L,Nad"/>
    <w:basedOn w:val="Normal"/>
    <w:link w:val="ListParagraphChar"/>
    <w:uiPriority w:val="34"/>
    <w:qFormat/>
    <w:rsid w:val="00B84F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7B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B94"/>
    <w:rPr>
      <w:rFonts w:ascii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7B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B94"/>
    <w:rPr>
      <w:rFonts w:ascii="Calibri" w:hAnsi="Calibri" w:cs="Calibri"/>
      <w:lang w:val="en-US"/>
    </w:rPr>
  </w:style>
  <w:style w:type="character" w:customStyle="1" w:styleId="ListParagraphChar">
    <w:name w:val="List Paragraph Char"/>
    <w:aliases w:val="Llista Nivell1 Char,Lista de nivel 1 Char,Lettre d'introduction Char,Table of contents numbered Char,Paragraphe de liste PBLH Char,BULLET 1 Char,List Bulletized Char,List Paragraph Char Char Char,Normal bullet 2 Char,Bullet list Char"/>
    <w:basedOn w:val="DefaultParagraphFont"/>
    <w:link w:val="ListParagraph"/>
    <w:uiPriority w:val="34"/>
    <w:qFormat/>
    <w:locked/>
    <w:rsid w:val="00685972"/>
    <w:rPr>
      <w:rFonts w:ascii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A7A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A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AE9"/>
    <w:rPr>
      <w:rFonts w:ascii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A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AE9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A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AE9"/>
    <w:rPr>
      <w:rFonts w:ascii="Segoe UI" w:hAnsi="Segoe UI" w:cs="Segoe UI"/>
      <w:sz w:val="18"/>
      <w:szCs w:val="18"/>
      <w:lang w:val="en-US"/>
    </w:rPr>
  </w:style>
  <w:style w:type="paragraph" w:customStyle="1" w:styleId="Default">
    <w:name w:val="Default"/>
    <w:rsid w:val="00517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jlqj4b">
    <w:name w:val="jlqj4b"/>
    <w:basedOn w:val="DefaultParagraphFont"/>
    <w:rsid w:val="002739D4"/>
  </w:style>
  <w:style w:type="character" w:styleId="Hyperlink">
    <w:name w:val="Hyperlink"/>
    <w:basedOn w:val="DefaultParagraphFont"/>
    <w:uiPriority w:val="99"/>
    <w:unhideWhenUsed/>
    <w:rsid w:val="002739D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C01CB2"/>
  </w:style>
  <w:style w:type="paragraph" w:styleId="NormalWeb">
    <w:name w:val="Normal (Web)"/>
    <w:basedOn w:val="Normal"/>
    <w:uiPriority w:val="99"/>
    <w:unhideWhenUsed/>
    <w:rsid w:val="00C01C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35AD4"/>
    <w:rPr>
      <w:color w:val="954F72" w:themeColor="followedHyperlink"/>
      <w:u w:val="single"/>
    </w:rPr>
  </w:style>
  <w:style w:type="character" w:customStyle="1" w:styleId="eop">
    <w:name w:val="eop"/>
    <w:basedOn w:val="DefaultParagraphFont"/>
    <w:rsid w:val="00E960CC"/>
  </w:style>
  <w:style w:type="paragraph" w:customStyle="1" w:styleId="paragraph">
    <w:name w:val="paragraph"/>
    <w:basedOn w:val="Normal"/>
    <w:rsid w:val="00E960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msonormal">
    <w:name w:val="x_msonormal"/>
    <w:basedOn w:val="Normal"/>
    <w:uiPriority w:val="99"/>
    <w:semiHidden/>
    <w:rsid w:val="004667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8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148909ed-59f5-4973-91ff-9a20c9e70734" xsi:nil="true"/>
    <_Status xmlns="http://schemas.microsoft.com/sharepoint/v3/fields">Not Started</_Status>
    <EC_Collab_Status xmlns="148909ed-59f5-4973-91ff-9a20c9e70734">Not Started</EC_Collab_Status>
    <EC_Collab_DocumentLanguage xmlns="148909ed-59f5-4973-91ff-9a20c9e70734">EN</EC_Collab_DocumentLanguag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676CE31F8F30DE4A8019937C001B7453" ma:contentTypeVersion="0" ma:contentTypeDescription="Create a new document in this library." ma:contentTypeScope="" ma:versionID="77139c13ef7b06ee17aebdfe0e86ae3b">
  <xsd:schema xmlns:xsd="http://www.w3.org/2001/XMLSchema" xmlns:xs="http://www.w3.org/2001/XMLSchema" xmlns:p="http://schemas.microsoft.com/office/2006/metadata/properties" xmlns:ns2="http://schemas.microsoft.com/sharepoint/v3/fields" xmlns:ns3="148909ed-59f5-4973-91ff-9a20c9e70734" targetNamespace="http://schemas.microsoft.com/office/2006/metadata/properties" ma:root="true" ma:fieldsID="1018bf6154f9047fb7637b28e6f45e0f" ns2:_="" ns3:_="">
    <xsd:import namespace="http://schemas.microsoft.com/sharepoint/v3/fields"/>
    <xsd:import namespace="148909ed-59f5-4973-91ff-9a20c9e7073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909ed-59f5-4973-91ff-9a20c9e7073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9E55C-C2D7-490A-8A1C-16B2DD3904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4C15CB-71C4-4DB0-9F43-4EBBBF831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5FE41-AED7-48BE-BD3D-EBA889A84075}">
  <ds:schemaRefs>
    <ds:schemaRef ds:uri="http://schemas.microsoft.com/office/2006/metadata/properties"/>
    <ds:schemaRef ds:uri="http://schemas.microsoft.com/office/infopath/2007/PartnerControls"/>
    <ds:schemaRef ds:uri="148909ed-59f5-4973-91ff-9a20c9e70734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E574C348-6083-49EC-8323-A7DA41F28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48909ed-59f5-4973-91ff-9a20c9e70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LINDE Zoe (CNECT)</dc:creator>
  <cp:keywords/>
  <dc:description/>
  <cp:lastModifiedBy>Septimiu Szabo</cp:lastModifiedBy>
  <cp:revision>4</cp:revision>
  <dcterms:created xsi:type="dcterms:W3CDTF">2021-05-29T18:08:00Z</dcterms:created>
  <dcterms:modified xsi:type="dcterms:W3CDTF">2021-05-31T08:04:00Z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0x010100258AA79CEB83498886A3A0868112325000676CE31F8F30DE4A8019937C001B7453</vt:lpwstr>
  </property>
</Properties>
</file>